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04B7CB54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7321E0">
        <w:rPr>
          <w:rFonts w:ascii="Cambria Math" w:hAnsi="Cambria Math"/>
          <w:b/>
          <w:bCs/>
          <w:color w:val="000000"/>
          <w:spacing w:val="-2"/>
        </w:rPr>
        <w:t>6</w:t>
      </w:r>
    </w:p>
    <w:p w14:paraId="5EFEBD3E" w14:textId="77777777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18EA1970" w:rsidR="0051673A" w:rsidRPr="0029545A" w:rsidRDefault="00127614" w:rsidP="006A51D7">
      <w:pPr>
        <w:spacing w:after="0" w:line="240" w:lineRule="auto"/>
        <w:jc w:val="center"/>
        <w:rPr>
          <w:rFonts w:ascii="Cambria" w:hAnsi="Cambria"/>
          <w:b/>
          <w:bCs/>
          <w:caps/>
        </w:rPr>
      </w:pPr>
      <w:r>
        <w:rPr>
          <w:rFonts w:ascii="Cambria" w:hAnsi="Cambria"/>
          <w:b/>
          <w:bCs/>
          <w:caps/>
        </w:rPr>
        <w:t xml:space="preserve">SPRZĘT MEDYCZNY DO PODOWANIA LEKÓW I PŁYNÓW INFUZYJNYCH </w:t>
      </w:r>
    </w:p>
    <w:p w14:paraId="44764719" w14:textId="77777777" w:rsidR="0029545A" w:rsidRPr="005E49FE" w:rsidRDefault="0029545A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701"/>
        <w:gridCol w:w="851"/>
        <w:gridCol w:w="850"/>
        <w:gridCol w:w="709"/>
        <w:gridCol w:w="1134"/>
        <w:gridCol w:w="1559"/>
        <w:gridCol w:w="2127"/>
      </w:tblGrid>
      <w:tr w:rsidR="00E1231E" w:rsidRPr="005E49FE" w14:paraId="3517A146" w14:textId="3E3E4404" w:rsidTr="00E1231E">
        <w:trPr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218D70A4" w14:textId="139E50B2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Lp.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54497800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Przedmiot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zamówienia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A4171A" w14:textId="165E8ABF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3D73A595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Ilość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Wartość netto 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731F99E3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Wartość brutto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C419A7" w14:textId="5FEAB81F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</w:t>
            </w: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/nr katalogowy</w:t>
            </w:r>
          </w:p>
        </w:tc>
      </w:tr>
      <w:tr w:rsidR="00E1231E" w:rsidRPr="005E49FE" w14:paraId="2BBD8B64" w14:textId="7F191174" w:rsidTr="00E1231E">
        <w:trPr>
          <w:trHeight w:val="3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0B6E" w14:textId="494A8342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090112EF" w:rsidR="00E1231E" w:rsidRPr="0029545A" w:rsidRDefault="00127614" w:rsidP="00923707">
            <w:pPr>
              <w:contextualSpacing/>
              <w:rPr>
                <w:rFonts w:ascii="Cambria Math" w:hAnsi="Cambria Math"/>
                <w:sz w:val="18"/>
                <w:szCs w:val="18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Pompy infuzyjne</w:t>
            </w:r>
            <w:r w:rsidR="00E1231E" w:rsidRPr="0029545A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8713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A170F58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78C7D946" w:rsidR="00E1231E" w:rsidRPr="0029545A" w:rsidRDefault="00127614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>
              <w:rPr>
                <w:rFonts w:ascii="Cambria Math" w:hAnsi="Cambria Math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DA8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5E49FE" w14:paraId="2B53B0CF" w14:textId="7044933C" w:rsidTr="00E1231E">
        <w:trPr>
          <w:trHeight w:val="23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A52" w14:textId="1E3601C8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21E4E56C" w:rsidR="00E1231E" w:rsidRPr="00470BD8" w:rsidRDefault="00127614" w:rsidP="00923707">
            <w:pPr>
              <w:contextualSpacing/>
              <w:rPr>
                <w:rFonts w:ascii="Cambria Math" w:hAnsi="Cambria Math"/>
                <w:color w:val="000000"/>
                <w:sz w:val="18"/>
                <w:szCs w:val="18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Stacja dokująca do pompy infuzyjnej</w:t>
            </w:r>
            <w:r w:rsidR="00E1231E" w:rsidRPr="00470BD8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096C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55AEB12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327A2F4B" w:rsidR="00E1231E" w:rsidRPr="0029545A" w:rsidRDefault="00127614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>
              <w:rPr>
                <w:rFonts w:ascii="Cambria Math" w:hAnsi="Cambria Math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52B8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5E49FE" w14:paraId="2423A993" w14:textId="265F224E" w:rsidTr="00E1231E">
        <w:trPr>
          <w:trHeight w:val="35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D3C6" w14:textId="262144CF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3F8A" w14:textId="25A51FBE" w:rsidR="00E1231E" w:rsidRPr="00470BD8" w:rsidRDefault="00127614" w:rsidP="00470BD8">
            <w:pPr>
              <w:contextualSpacing/>
              <w:rPr>
                <w:rFonts w:ascii="Cambria Math" w:hAnsi="Cambria Math"/>
                <w:color w:val="000000"/>
                <w:sz w:val="18"/>
                <w:szCs w:val="18"/>
              </w:rPr>
            </w:pPr>
            <w:r>
              <w:rPr>
                <w:rFonts w:ascii="Cambria Math" w:hAnsi="Cambria Math"/>
                <w:color w:val="000000"/>
                <w:sz w:val="18"/>
                <w:szCs w:val="18"/>
              </w:rPr>
              <w:t>Statyw do stacji i pomp infuzyjny</w:t>
            </w:r>
            <w:r w:rsidR="0031409A">
              <w:rPr>
                <w:rFonts w:ascii="Cambria Math" w:hAnsi="Cambria Math"/>
                <w:color w:val="000000"/>
                <w:sz w:val="18"/>
                <w:szCs w:val="18"/>
              </w:rPr>
              <w:t>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BE40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407E" w14:textId="06A94F6D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CD75" w14:textId="6A7B2697" w:rsidR="00E1231E" w:rsidRPr="0029545A" w:rsidRDefault="00127614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>
              <w:rPr>
                <w:rFonts w:ascii="Cambria Math" w:hAnsi="Cambria Math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77F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D0C4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CC6D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7321E0" w:rsidRPr="005E49FE" w14:paraId="52A34224" w14:textId="4D8B8834" w:rsidTr="00617525">
        <w:trPr>
          <w:trHeight w:val="365"/>
        </w:trPr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AF96" w14:textId="3A25D601" w:rsidR="007321E0" w:rsidRPr="005E49FE" w:rsidRDefault="007321E0" w:rsidP="007321E0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7321E0" w:rsidRPr="005E49FE" w:rsidRDefault="007321E0" w:rsidP="007321E0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7321E0" w:rsidRPr="005E49FE" w:rsidRDefault="007321E0" w:rsidP="007321E0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F50276" w14:textId="77777777" w:rsidR="007321E0" w:rsidRPr="005E49FE" w:rsidRDefault="007321E0" w:rsidP="007321E0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559"/>
        <w:gridCol w:w="2127"/>
      </w:tblGrid>
      <w:tr w:rsidR="006A51D7" w:rsidRPr="0029545A" w14:paraId="25A3D9DB" w14:textId="77777777" w:rsidTr="00470BD8">
        <w:tc>
          <w:tcPr>
            <w:tcW w:w="567" w:type="dxa"/>
            <w:vAlign w:val="center"/>
          </w:tcPr>
          <w:p w14:paraId="0F2669AC" w14:textId="77777777" w:rsidR="0051673A" w:rsidRPr="0029545A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245" w:type="dxa"/>
            <w:vAlign w:val="center"/>
          </w:tcPr>
          <w:p w14:paraId="4FB0A03C" w14:textId="77777777" w:rsidR="0051673A" w:rsidRPr="0029545A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29545A"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29545A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29545A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</w:t>
            </w:r>
            <w:r w:rsidR="005E49FE"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 xml:space="preserve"> </w:t>
            </w:r>
            <w:r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8F7F66" w:rsidRPr="005E49FE" w14:paraId="3DEF8FB3" w14:textId="77777777" w:rsidTr="00470BD8">
        <w:trPr>
          <w:trHeight w:val="337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41859D47" w14:textId="78A581A2" w:rsidR="008F7F66" w:rsidRPr="00127614" w:rsidRDefault="00127614" w:rsidP="008F7F66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 Math" w:hAnsi="Cambria Math"/>
                <w:b/>
                <w:bCs/>
              </w:rPr>
            </w:pPr>
            <w:r w:rsidRPr="00127614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 xml:space="preserve">Pompy infuzyjne </w:t>
            </w:r>
            <w:r w:rsidR="00470BD8" w:rsidRPr="00127614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 xml:space="preserve">– </w:t>
            </w:r>
            <w:r w:rsidRPr="00127614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 xml:space="preserve">8 </w:t>
            </w:r>
            <w:r w:rsidR="00470BD8" w:rsidRPr="00127614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>szt</w:t>
            </w:r>
            <w:r w:rsidRPr="00127614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>.</w:t>
            </w:r>
          </w:p>
        </w:tc>
      </w:tr>
      <w:tr w:rsidR="0031409A" w:rsidRPr="005E49FE" w14:paraId="0DAADA5B" w14:textId="77777777" w:rsidTr="003A4CCF">
        <w:trPr>
          <w:trHeight w:val="337"/>
        </w:trPr>
        <w:tc>
          <w:tcPr>
            <w:tcW w:w="567" w:type="dxa"/>
            <w:vAlign w:val="center"/>
          </w:tcPr>
          <w:p w14:paraId="21FE80CD" w14:textId="33ED52ED" w:rsidR="0031409A" w:rsidRPr="004B26E8" w:rsidRDefault="0031409A" w:rsidP="00314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3BA001C1" w14:textId="66F7FC80" w:rsidR="0031409A" w:rsidRPr="004B26E8" w:rsidRDefault="0031409A" w:rsidP="0031409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 xml:space="preserve">Stosowanie strzykawek 2, 5, 6, 10, 12, 20, 30, 35, 50 ml. </w:t>
            </w:r>
          </w:p>
        </w:tc>
        <w:tc>
          <w:tcPr>
            <w:tcW w:w="1559" w:type="dxa"/>
            <w:vAlign w:val="center"/>
          </w:tcPr>
          <w:p w14:paraId="04701552" w14:textId="1BC304B5" w:rsidR="0031409A" w:rsidRPr="004B26E8" w:rsidRDefault="0031409A" w:rsidP="00314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31409A" w:rsidRPr="005E49FE" w:rsidRDefault="0031409A" w:rsidP="0031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31409A" w:rsidRPr="005E49FE" w14:paraId="776C30A8" w14:textId="77777777" w:rsidTr="003A4CCF">
        <w:tc>
          <w:tcPr>
            <w:tcW w:w="567" w:type="dxa"/>
            <w:vAlign w:val="center"/>
          </w:tcPr>
          <w:p w14:paraId="2A6896E0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0E8D8" w14:textId="529EA6D8" w:rsidR="0031409A" w:rsidRPr="004B26E8" w:rsidRDefault="0031409A" w:rsidP="0031409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Strzykawki montowane od czoła.</w:t>
            </w:r>
          </w:p>
        </w:tc>
        <w:tc>
          <w:tcPr>
            <w:tcW w:w="1559" w:type="dxa"/>
            <w:vAlign w:val="center"/>
          </w:tcPr>
          <w:p w14:paraId="4BA1554C" w14:textId="23984223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31409A" w:rsidRPr="005E49FE" w:rsidRDefault="0031409A" w:rsidP="0031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31409A" w:rsidRPr="005E49FE" w14:paraId="6CBAFB81" w14:textId="77777777" w:rsidTr="003A4CCF">
        <w:tc>
          <w:tcPr>
            <w:tcW w:w="567" w:type="dxa"/>
            <w:vAlign w:val="center"/>
          </w:tcPr>
          <w:p w14:paraId="0C93A0C2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AF28B" w14:textId="2B739F56" w:rsidR="0031409A" w:rsidRPr="004B26E8" w:rsidRDefault="0031409A" w:rsidP="0031409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Ramię pompy niewychodzące poza gabaryt obudowy.</w:t>
            </w:r>
          </w:p>
        </w:tc>
        <w:tc>
          <w:tcPr>
            <w:tcW w:w="1559" w:type="dxa"/>
            <w:vAlign w:val="center"/>
          </w:tcPr>
          <w:p w14:paraId="6B877D95" w14:textId="232DFCE7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31409A" w:rsidRPr="005E49FE" w:rsidRDefault="0031409A" w:rsidP="0031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31409A" w:rsidRPr="005E49FE" w14:paraId="10A213A3" w14:textId="77777777" w:rsidTr="003A4CCF">
        <w:tc>
          <w:tcPr>
            <w:tcW w:w="567" w:type="dxa"/>
            <w:vAlign w:val="center"/>
          </w:tcPr>
          <w:p w14:paraId="5C4F6CC3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5A11" w14:textId="0DB46B2E" w:rsidR="0031409A" w:rsidRPr="004B26E8" w:rsidRDefault="0031409A" w:rsidP="0031409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 xml:space="preserve">Klawiatura symboliczna i alfanumeryczna umożliwiająca szybkie i intuicyjne programowanie infuzji oraz obsługę pompy-nie dopuszcza się klawiatury wyświetlanej na ekranie pompy. </w:t>
            </w:r>
          </w:p>
        </w:tc>
        <w:tc>
          <w:tcPr>
            <w:tcW w:w="1559" w:type="dxa"/>
            <w:vAlign w:val="center"/>
          </w:tcPr>
          <w:p w14:paraId="6AE82739" w14:textId="364BE8A2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31409A" w:rsidRPr="005E49FE" w:rsidRDefault="0031409A" w:rsidP="0031409A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31409A" w:rsidRPr="005E49FE" w14:paraId="28614457" w14:textId="77777777" w:rsidTr="003A4CCF">
        <w:tc>
          <w:tcPr>
            <w:tcW w:w="567" w:type="dxa"/>
            <w:vAlign w:val="center"/>
          </w:tcPr>
          <w:p w14:paraId="34D8207E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3582A" w14:textId="5D807B62" w:rsidR="0031409A" w:rsidRPr="004B26E8" w:rsidRDefault="0031409A" w:rsidP="0031409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 xml:space="preserve">Wysokość pompy +/- 11 cm </w:t>
            </w:r>
          </w:p>
        </w:tc>
        <w:tc>
          <w:tcPr>
            <w:tcW w:w="1559" w:type="dxa"/>
            <w:vAlign w:val="center"/>
          </w:tcPr>
          <w:p w14:paraId="183A2DA9" w14:textId="192869F8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31409A" w:rsidRPr="005E49FE" w:rsidRDefault="0031409A" w:rsidP="0031409A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31409A" w:rsidRPr="005E49FE" w14:paraId="1FB78F77" w14:textId="77777777" w:rsidTr="003A4CCF">
        <w:tc>
          <w:tcPr>
            <w:tcW w:w="567" w:type="dxa"/>
            <w:vAlign w:val="center"/>
          </w:tcPr>
          <w:p w14:paraId="368791E7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50BA9" w14:textId="250A36DE" w:rsidR="0031409A" w:rsidRPr="004B26E8" w:rsidRDefault="0031409A" w:rsidP="0031409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Szybkość dozowania w zakresie 0,01-2000 ml/h</w:t>
            </w:r>
          </w:p>
        </w:tc>
        <w:tc>
          <w:tcPr>
            <w:tcW w:w="1559" w:type="dxa"/>
            <w:vAlign w:val="center"/>
          </w:tcPr>
          <w:p w14:paraId="18CD037A" w14:textId="3E75FDC6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31409A" w:rsidRPr="005E49FE" w:rsidRDefault="0031409A" w:rsidP="0031409A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31409A" w:rsidRPr="005E49FE" w14:paraId="6C1BDC3B" w14:textId="77777777" w:rsidTr="003A4CCF">
        <w:tc>
          <w:tcPr>
            <w:tcW w:w="567" w:type="dxa"/>
            <w:vAlign w:val="center"/>
          </w:tcPr>
          <w:p w14:paraId="60078A77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7BB71" w14:textId="77777777" w:rsidR="0031409A" w:rsidRPr="00FC0B4D" w:rsidRDefault="0031409A" w:rsidP="0031409A">
            <w:pPr>
              <w:rPr>
                <w:rFonts w:ascii="Cambria Math" w:hAnsi="Cambria Math" w:cs="Calibri"/>
                <w:b/>
                <w:bCs/>
              </w:rPr>
            </w:pPr>
            <w:r w:rsidRPr="00FC0B4D">
              <w:rPr>
                <w:rFonts w:ascii="Cambria Math" w:hAnsi="Cambria Math"/>
              </w:rPr>
              <w:t>Programowanie parametrów infuzji w jednostkach:</w:t>
            </w:r>
          </w:p>
          <w:p w14:paraId="3C0E9AE5" w14:textId="77777777" w:rsidR="0031409A" w:rsidRPr="00FC0B4D" w:rsidRDefault="0031409A" w:rsidP="0031409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ml, L,</w:t>
            </w:r>
          </w:p>
          <w:p w14:paraId="1759098D" w14:textId="77777777" w:rsidR="0031409A" w:rsidRPr="00FC0B4D" w:rsidRDefault="0031409A" w:rsidP="0031409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ng</w:t>
            </w:r>
            <w:proofErr w:type="spellEnd"/>
            <w:r w:rsidRPr="00FC0B4D">
              <w:rPr>
                <w:rFonts w:ascii="Cambria Math" w:hAnsi="Cambria Math"/>
              </w:rPr>
              <w:t xml:space="preserve">, </w:t>
            </w:r>
            <w:proofErr w:type="spellStart"/>
            <w:r w:rsidRPr="00FC0B4D">
              <w:rPr>
                <w:rFonts w:ascii="Cambria Math" w:hAnsi="Cambria Math"/>
              </w:rPr>
              <w:t>μg</w:t>
            </w:r>
            <w:proofErr w:type="spellEnd"/>
            <w:r w:rsidRPr="00FC0B4D">
              <w:rPr>
                <w:rFonts w:ascii="Cambria Math" w:hAnsi="Cambria Math"/>
              </w:rPr>
              <w:t>, mg, g,</w:t>
            </w:r>
          </w:p>
          <w:p w14:paraId="4DD02F34" w14:textId="77777777" w:rsidR="0031409A" w:rsidRPr="00FC0B4D" w:rsidRDefault="0031409A" w:rsidP="0031409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μEq</w:t>
            </w:r>
            <w:proofErr w:type="spellEnd"/>
            <w:r w:rsidRPr="00FC0B4D">
              <w:rPr>
                <w:rFonts w:ascii="Cambria Math" w:hAnsi="Cambria Math"/>
              </w:rPr>
              <w:t xml:space="preserve">, </w:t>
            </w:r>
            <w:proofErr w:type="spellStart"/>
            <w:r w:rsidRPr="00FC0B4D">
              <w:rPr>
                <w:rFonts w:ascii="Cambria Math" w:hAnsi="Cambria Math"/>
              </w:rPr>
              <w:t>mEq</w:t>
            </w:r>
            <w:proofErr w:type="spellEnd"/>
            <w:r w:rsidRPr="00FC0B4D">
              <w:rPr>
                <w:rFonts w:ascii="Cambria Math" w:hAnsi="Cambria Math"/>
              </w:rPr>
              <w:t xml:space="preserve">, </w:t>
            </w:r>
            <w:proofErr w:type="spellStart"/>
            <w:r w:rsidRPr="00FC0B4D">
              <w:rPr>
                <w:rFonts w:ascii="Cambria Math" w:hAnsi="Cambria Math"/>
              </w:rPr>
              <w:t>Eq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46AFB495" w14:textId="77777777" w:rsidR="0031409A" w:rsidRPr="00FC0B4D" w:rsidRDefault="0031409A" w:rsidP="0031409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mlU</w:t>
            </w:r>
            <w:proofErr w:type="spellEnd"/>
            <w:r w:rsidRPr="00FC0B4D">
              <w:rPr>
                <w:rFonts w:ascii="Cambria Math" w:hAnsi="Cambria Math"/>
              </w:rPr>
              <w:t xml:space="preserve">, IU, </w:t>
            </w:r>
            <w:proofErr w:type="spellStart"/>
            <w:r w:rsidRPr="00FC0B4D">
              <w:rPr>
                <w:rFonts w:ascii="Cambria Math" w:hAnsi="Cambria Math"/>
              </w:rPr>
              <w:t>kIU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5DAF9809" w14:textId="77777777" w:rsidR="0031409A" w:rsidRPr="00FC0B4D" w:rsidRDefault="0031409A" w:rsidP="0031409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mIE</w:t>
            </w:r>
            <w:proofErr w:type="spellEnd"/>
            <w:r w:rsidRPr="00FC0B4D">
              <w:rPr>
                <w:rFonts w:ascii="Cambria Math" w:hAnsi="Cambria Math"/>
              </w:rPr>
              <w:t xml:space="preserve">, IE, </w:t>
            </w:r>
            <w:proofErr w:type="spellStart"/>
            <w:r w:rsidRPr="00FC0B4D">
              <w:rPr>
                <w:rFonts w:ascii="Cambria Math" w:hAnsi="Cambria Math"/>
              </w:rPr>
              <w:t>kIE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34687E4B" w14:textId="77777777" w:rsidR="0031409A" w:rsidRPr="00FC0B4D" w:rsidRDefault="0031409A" w:rsidP="0031409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cal, kcal,</w:t>
            </w:r>
          </w:p>
          <w:p w14:paraId="27C1C1BD" w14:textId="77777777" w:rsidR="0031409A" w:rsidRPr="00FC0B4D" w:rsidRDefault="0031409A" w:rsidP="0031409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 xml:space="preserve">J, </w:t>
            </w:r>
            <w:proofErr w:type="spellStart"/>
            <w:r w:rsidRPr="00FC0B4D">
              <w:rPr>
                <w:rFonts w:ascii="Cambria Math" w:hAnsi="Cambria Math"/>
              </w:rPr>
              <w:t>kJ</w:t>
            </w:r>
            <w:proofErr w:type="spellEnd"/>
            <w:r w:rsidRPr="00FC0B4D">
              <w:rPr>
                <w:rFonts w:ascii="Cambria Math" w:hAnsi="Cambria Math"/>
              </w:rPr>
              <w:t>,</w:t>
            </w:r>
          </w:p>
          <w:p w14:paraId="4F3235DE" w14:textId="77777777" w:rsidR="0031409A" w:rsidRPr="00FC0B4D" w:rsidRDefault="0031409A" w:rsidP="0031409A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60" w:line="240" w:lineRule="auto"/>
              <w:rPr>
                <w:rFonts w:ascii="Cambria Math" w:hAnsi="Cambria Math"/>
                <w:b/>
                <w:bCs/>
              </w:rPr>
            </w:pPr>
            <w:proofErr w:type="spellStart"/>
            <w:r w:rsidRPr="00FC0B4D">
              <w:rPr>
                <w:rFonts w:ascii="Cambria Math" w:hAnsi="Cambria Math"/>
              </w:rPr>
              <w:t>mmol</w:t>
            </w:r>
            <w:proofErr w:type="spellEnd"/>
            <w:r w:rsidRPr="00FC0B4D">
              <w:rPr>
                <w:rFonts w:ascii="Cambria Math" w:hAnsi="Cambria Math"/>
              </w:rPr>
              <w:t xml:space="preserve">, mol, </w:t>
            </w:r>
          </w:p>
          <w:p w14:paraId="5449670E" w14:textId="77777777" w:rsidR="0031409A" w:rsidRPr="00FC0B4D" w:rsidRDefault="0031409A" w:rsidP="0031409A">
            <w:pPr>
              <w:ind w:left="99"/>
              <w:rPr>
                <w:rFonts w:ascii="Cambria Math" w:hAnsi="Cambria Math" w:cs="Calibri"/>
                <w:b/>
                <w:bCs/>
              </w:rPr>
            </w:pPr>
            <w:r w:rsidRPr="00FC0B4D">
              <w:rPr>
                <w:rFonts w:ascii="Cambria Math" w:hAnsi="Cambria Math"/>
              </w:rPr>
              <w:t>z uwzględnieniem wagi pacjenta lub nie,</w:t>
            </w:r>
          </w:p>
          <w:p w14:paraId="1F036306" w14:textId="77777777" w:rsidR="0031409A" w:rsidRPr="00FC0B4D" w:rsidRDefault="0031409A" w:rsidP="0031409A">
            <w:pPr>
              <w:ind w:left="99"/>
              <w:rPr>
                <w:rFonts w:ascii="Cambria Math" w:hAnsi="Cambria Math" w:cs="Calibri"/>
                <w:b/>
                <w:bCs/>
              </w:rPr>
            </w:pPr>
            <w:r w:rsidRPr="00FC0B4D">
              <w:rPr>
                <w:rFonts w:ascii="Cambria Math" w:hAnsi="Cambria Math"/>
              </w:rPr>
              <w:t xml:space="preserve">z uwzględnieniem powierzchni pacjenta lub nie, </w:t>
            </w:r>
          </w:p>
          <w:p w14:paraId="1C57E6F3" w14:textId="5FFA95F9" w:rsidR="0031409A" w:rsidRPr="004B26E8" w:rsidRDefault="0031409A" w:rsidP="0031409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na min, godz., dobę.</w:t>
            </w:r>
          </w:p>
        </w:tc>
        <w:tc>
          <w:tcPr>
            <w:tcW w:w="1559" w:type="dxa"/>
            <w:vAlign w:val="center"/>
          </w:tcPr>
          <w:p w14:paraId="7343CB72" w14:textId="4F9574FD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31409A" w:rsidRPr="005E49FE" w:rsidRDefault="0031409A" w:rsidP="0031409A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31409A" w:rsidRPr="005E49FE" w14:paraId="494AD09E" w14:textId="77777777" w:rsidTr="003A4CCF">
        <w:tc>
          <w:tcPr>
            <w:tcW w:w="567" w:type="dxa"/>
            <w:vAlign w:val="center"/>
          </w:tcPr>
          <w:p w14:paraId="03DCC404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8753D" w14:textId="2B586586" w:rsidR="0031409A" w:rsidRPr="004B26E8" w:rsidRDefault="0031409A" w:rsidP="0031409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Zabezpieczenie przed gwałtowną zmianą szybkości w trakcie trwania infuzji (miareczkowanie).</w:t>
            </w:r>
          </w:p>
        </w:tc>
        <w:tc>
          <w:tcPr>
            <w:tcW w:w="1559" w:type="dxa"/>
            <w:vAlign w:val="center"/>
          </w:tcPr>
          <w:p w14:paraId="2796904F" w14:textId="33B5E281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31409A" w:rsidRPr="005E49FE" w:rsidRDefault="0031409A" w:rsidP="0031409A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31409A" w:rsidRPr="005E49FE" w14:paraId="459EA1A5" w14:textId="77777777" w:rsidTr="003A4CCF">
        <w:tc>
          <w:tcPr>
            <w:tcW w:w="567" w:type="dxa"/>
            <w:vAlign w:val="center"/>
          </w:tcPr>
          <w:p w14:paraId="56321570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B8704" w14:textId="77777777" w:rsidR="0031409A" w:rsidRPr="00FC0B4D" w:rsidRDefault="0031409A" w:rsidP="0031409A">
            <w:pPr>
              <w:rPr>
                <w:rFonts w:ascii="Cambria Math" w:eastAsia="Times New Roman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Tryby dozowania:</w:t>
            </w:r>
          </w:p>
          <w:p w14:paraId="7BB78D46" w14:textId="77777777" w:rsidR="0031409A" w:rsidRPr="00FC0B4D" w:rsidRDefault="0031409A" w:rsidP="0031409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Infuzja ciągła,</w:t>
            </w:r>
          </w:p>
          <w:p w14:paraId="4BB3BB21" w14:textId="77777777" w:rsidR="0031409A" w:rsidRPr="00FC0B4D" w:rsidRDefault="0031409A" w:rsidP="0031409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Infuzja bolusowa (z przerwą),</w:t>
            </w:r>
          </w:p>
          <w:p w14:paraId="491EAED7" w14:textId="77777777" w:rsidR="0031409A" w:rsidRPr="00FC0B4D" w:rsidRDefault="0031409A" w:rsidP="0031409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  <w:kern w:val="2"/>
              </w:rPr>
            </w:pPr>
            <w:r w:rsidRPr="00FC0B4D">
              <w:rPr>
                <w:rFonts w:ascii="Cambria Math" w:hAnsi="Cambria Math"/>
              </w:rPr>
              <w:t>Infuzja profilowa (min. 16 kroków infuzji),</w:t>
            </w:r>
          </w:p>
          <w:p w14:paraId="5A6D53EF" w14:textId="39263D61" w:rsidR="0031409A" w:rsidRPr="004B26E8" w:rsidRDefault="0031409A" w:rsidP="0031409A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Infuzja TPN (narastanie / utrzymanie / opadanie).</w:t>
            </w:r>
          </w:p>
        </w:tc>
        <w:tc>
          <w:tcPr>
            <w:tcW w:w="1559" w:type="dxa"/>
            <w:vAlign w:val="center"/>
          </w:tcPr>
          <w:p w14:paraId="2F39E765" w14:textId="63BF4B79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31409A" w:rsidRPr="005E49FE" w:rsidRDefault="0031409A" w:rsidP="0031409A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31409A" w:rsidRPr="005E49FE" w14:paraId="166D03D1" w14:textId="77777777" w:rsidTr="003A4CCF">
        <w:trPr>
          <w:trHeight w:val="568"/>
        </w:trPr>
        <w:tc>
          <w:tcPr>
            <w:tcW w:w="567" w:type="dxa"/>
            <w:vAlign w:val="center"/>
          </w:tcPr>
          <w:p w14:paraId="71ABFEB8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7D97E" w14:textId="0B0D92D3" w:rsidR="0031409A" w:rsidRPr="004B26E8" w:rsidRDefault="0031409A" w:rsidP="0031409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Dokładność infuzji ± 2%</w:t>
            </w:r>
          </w:p>
        </w:tc>
        <w:tc>
          <w:tcPr>
            <w:tcW w:w="1559" w:type="dxa"/>
            <w:vAlign w:val="center"/>
          </w:tcPr>
          <w:p w14:paraId="3B3FB255" w14:textId="3CBF4E47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31409A" w:rsidRPr="005E49FE" w:rsidRDefault="0031409A" w:rsidP="0031409A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31409A" w:rsidRPr="005E49FE" w14:paraId="1077089F" w14:textId="77777777" w:rsidTr="003A4CCF">
        <w:tc>
          <w:tcPr>
            <w:tcW w:w="567" w:type="dxa"/>
            <w:vAlign w:val="center"/>
          </w:tcPr>
          <w:p w14:paraId="6F381BCD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6614D" w14:textId="77777777" w:rsidR="0031409A" w:rsidRPr="00FC0B4D" w:rsidRDefault="0031409A" w:rsidP="0031409A">
            <w:pPr>
              <w:rPr>
                <w:rFonts w:ascii="Cambria Math" w:eastAsia="Times New Roman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Programowanie parametrów podaży Bolus-a i dawki indukcyjnej:</w:t>
            </w:r>
          </w:p>
          <w:p w14:paraId="2F8F86BD" w14:textId="77777777" w:rsidR="0031409A" w:rsidRPr="00FC0B4D" w:rsidRDefault="0031409A" w:rsidP="0031409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- objętość / dawka</w:t>
            </w:r>
          </w:p>
          <w:p w14:paraId="568F6E20" w14:textId="3030CA3E" w:rsidR="0031409A" w:rsidRPr="004B26E8" w:rsidRDefault="0031409A" w:rsidP="0031409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- czas lub szybkość podaży</w:t>
            </w:r>
          </w:p>
        </w:tc>
        <w:tc>
          <w:tcPr>
            <w:tcW w:w="1559" w:type="dxa"/>
            <w:vAlign w:val="center"/>
          </w:tcPr>
          <w:p w14:paraId="578095C5" w14:textId="0091ED43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AFE7FBA" w14:textId="77777777" w:rsidR="0031409A" w:rsidRPr="005E49FE" w:rsidRDefault="0031409A" w:rsidP="0031409A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31409A" w:rsidRPr="005E49FE" w14:paraId="3FF02862" w14:textId="77777777" w:rsidTr="003A4CCF">
        <w:trPr>
          <w:trHeight w:val="323"/>
        </w:trPr>
        <w:tc>
          <w:tcPr>
            <w:tcW w:w="567" w:type="dxa"/>
            <w:vAlign w:val="center"/>
          </w:tcPr>
          <w:p w14:paraId="41926D97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30BAE" w14:textId="5ACB6E3C" w:rsidR="0031409A" w:rsidRPr="004B26E8" w:rsidRDefault="0031409A" w:rsidP="0031409A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FC0B4D">
              <w:rPr>
                <w:rFonts w:ascii="Cambria Math" w:hAnsi="Cambria Math"/>
              </w:rPr>
              <w:t>Automatyczna zmniejszenie szybkości podaży bolusa, w celu uniknięcia przerwania infuzji na skutek alarmu okluzji.</w:t>
            </w:r>
          </w:p>
        </w:tc>
        <w:tc>
          <w:tcPr>
            <w:tcW w:w="1559" w:type="dxa"/>
            <w:vAlign w:val="center"/>
          </w:tcPr>
          <w:p w14:paraId="2363D32D" w14:textId="7947DF81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A92B55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486CB4E4" w14:textId="77777777" w:rsidTr="003A4CCF">
        <w:tc>
          <w:tcPr>
            <w:tcW w:w="567" w:type="dxa"/>
            <w:vAlign w:val="center"/>
          </w:tcPr>
          <w:p w14:paraId="7B49FC88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0D91A" w14:textId="77777777" w:rsidR="0031409A" w:rsidRPr="00FC0B4D" w:rsidRDefault="0031409A" w:rsidP="0031409A">
            <w:pPr>
              <w:rPr>
                <w:rFonts w:ascii="Cambria Math" w:eastAsia="Times New Roman" w:hAnsi="Cambria Math"/>
              </w:rPr>
            </w:pPr>
            <w:r w:rsidRPr="00FC0B4D">
              <w:rPr>
                <w:rFonts w:ascii="Cambria Math" w:hAnsi="Cambria Math"/>
              </w:rPr>
              <w:t>Możliwość wgrania do pompy biblioteki leków złożonej z procedur dozowania zawierających co najmniej:</w:t>
            </w:r>
          </w:p>
          <w:p w14:paraId="3DA5841A" w14:textId="77777777" w:rsidR="0031409A" w:rsidRPr="00FC0B4D" w:rsidRDefault="0031409A" w:rsidP="0031409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nazwy leku,</w:t>
            </w:r>
          </w:p>
          <w:p w14:paraId="11C9A221" w14:textId="77777777" w:rsidR="0031409A" w:rsidRPr="00FC0B4D" w:rsidRDefault="0031409A" w:rsidP="0031409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10 koncentracji leku,</w:t>
            </w:r>
          </w:p>
          <w:p w14:paraId="7F5D86CE" w14:textId="77777777" w:rsidR="0031409A" w:rsidRPr="00FC0B4D" w:rsidRDefault="0031409A" w:rsidP="0031409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szybkości dozowania (dawkowanie),</w:t>
            </w:r>
          </w:p>
          <w:p w14:paraId="42097D3B" w14:textId="77777777" w:rsidR="0031409A" w:rsidRPr="00FC0B4D" w:rsidRDefault="0031409A" w:rsidP="0031409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całkowitej objętości (dawki) infuzji,</w:t>
            </w:r>
          </w:p>
          <w:p w14:paraId="01160599" w14:textId="77777777" w:rsidR="0031409A" w:rsidRPr="00FC0B4D" w:rsidRDefault="0031409A" w:rsidP="0031409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parametrów bolusa, oraz dawki indukcyjnej,</w:t>
            </w:r>
          </w:p>
          <w:p w14:paraId="44E164CC" w14:textId="77777777" w:rsidR="0031409A" w:rsidRPr="00FC0B4D" w:rsidRDefault="0031409A" w:rsidP="0031409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limitów dla wymienionych parametrów infuzji:</w:t>
            </w:r>
          </w:p>
          <w:p w14:paraId="15E4B204" w14:textId="77777777" w:rsidR="0031409A" w:rsidRPr="00FC0B4D" w:rsidRDefault="0031409A" w:rsidP="0031409A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 xml:space="preserve">miękkich, ostrzegających o przekroczeniu zalecanych wartości parametrów, </w:t>
            </w:r>
          </w:p>
          <w:p w14:paraId="018E0279" w14:textId="77777777" w:rsidR="0031409A" w:rsidRPr="00FC0B4D" w:rsidRDefault="0031409A" w:rsidP="0031409A">
            <w:pPr>
              <w:numPr>
                <w:ilvl w:val="1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twardych – blokujących możliwość wprowadzenia wartości spoza ich zakresu.</w:t>
            </w:r>
          </w:p>
          <w:p w14:paraId="40018638" w14:textId="77777777" w:rsidR="0031409A" w:rsidRPr="00FC0B4D" w:rsidRDefault="0031409A" w:rsidP="0031409A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</w:rPr>
            </w:pPr>
            <w:r w:rsidRPr="00FC0B4D">
              <w:rPr>
                <w:rFonts w:ascii="Cambria Math" w:hAnsi="Cambria Math"/>
              </w:rPr>
              <w:t>Notatki doradczej możliwej do odczytania przed rozpoczęciem infuzji.</w:t>
            </w:r>
          </w:p>
          <w:p w14:paraId="1586D6E8" w14:textId="77777777" w:rsidR="0031409A" w:rsidRPr="00FC0B4D" w:rsidRDefault="0031409A" w:rsidP="0031409A">
            <w:pPr>
              <w:rPr>
                <w:rFonts w:ascii="Cambria Math" w:eastAsia="Times New Roman" w:hAnsi="Cambria Math"/>
              </w:rPr>
            </w:pPr>
            <w:r w:rsidRPr="00FC0B4D">
              <w:rPr>
                <w:rFonts w:ascii="Cambria Math" w:hAnsi="Cambria Math"/>
              </w:rPr>
              <w:t>Podział biblioteki na osobne grupy dedykowane poszczególnym oddziałom szpitalnym, do 40 oddziałów. Wybór oddziału dostępny w pompie.</w:t>
            </w:r>
          </w:p>
          <w:p w14:paraId="70EF48F0" w14:textId="77777777" w:rsidR="0031409A" w:rsidRPr="00FC0B4D" w:rsidRDefault="0031409A" w:rsidP="0031409A">
            <w:pPr>
              <w:rPr>
                <w:rFonts w:ascii="Cambria Math" w:eastAsia="Times New Roman" w:hAnsi="Cambria Math"/>
              </w:rPr>
            </w:pPr>
            <w:r w:rsidRPr="00FC0B4D">
              <w:rPr>
                <w:rFonts w:ascii="Cambria Math" w:hAnsi="Cambria Math"/>
              </w:rPr>
              <w:t>Podział biblioteki dedykowanej oddziałom na 40 kategorii lekowych.</w:t>
            </w:r>
          </w:p>
          <w:p w14:paraId="6069F1CE" w14:textId="26CE040B" w:rsidR="0031409A" w:rsidRPr="004B26E8" w:rsidRDefault="0031409A" w:rsidP="0031409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Pojemność biblioteki 4000 procedur dozowania leków.</w:t>
            </w:r>
          </w:p>
        </w:tc>
        <w:tc>
          <w:tcPr>
            <w:tcW w:w="1559" w:type="dxa"/>
            <w:vAlign w:val="center"/>
          </w:tcPr>
          <w:p w14:paraId="5B6E442D" w14:textId="55565299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3A521B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0FC2C523" w14:textId="77777777" w:rsidTr="00470BD8">
        <w:tc>
          <w:tcPr>
            <w:tcW w:w="567" w:type="dxa"/>
            <w:vAlign w:val="center"/>
          </w:tcPr>
          <w:p w14:paraId="0D647BED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F88E" w14:textId="487DE05B" w:rsidR="0031409A" w:rsidRPr="004B26E8" w:rsidRDefault="0031409A" w:rsidP="0031409A">
            <w:pPr>
              <w:rPr>
                <w:rFonts w:ascii="Cambria Math" w:hAnsi="Cambria Math"/>
                <w:highlight w:val="yellow"/>
              </w:rPr>
            </w:pPr>
            <w:r w:rsidRPr="00FC0B4D">
              <w:rPr>
                <w:rFonts w:ascii="Cambria Math" w:hAnsi="Cambria Math"/>
              </w:rPr>
              <w:t>Dostępność polskojęzycznego oprogramowania komputerowego do tworzenia i przesyłania do pompy biblioteki leków.</w:t>
            </w:r>
          </w:p>
        </w:tc>
        <w:tc>
          <w:tcPr>
            <w:tcW w:w="1559" w:type="dxa"/>
            <w:vAlign w:val="center"/>
          </w:tcPr>
          <w:p w14:paraId="1E03C526" w14:textId="77777777" w:rsidR="0031409A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  <w:p w14:paraId="1E36480A" w14:textId="4C71979B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29545A">
              <w:rPr>
                <w:rFonts w:ascii="Cambria Math" w:hAnsi="Cambria Math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2376630E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6CA6326F" w14:textId="77777777" w:rsidTr="00470BD8">
        <w:tc>
          <w:tcPr>
            <w:tcW w:w="567" w:type="dxa"/>
            <w:vAlign w:val="center"/>
          </w:tcPr>
          <w:p w14:paraId="6F5D139F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CC0B" w14:textId="77777777" w:rsidR="0031409A" w:rsidRPr="00FC0B4D" w:rsidRDefault="0031409A" w:rsidP="0031409A">
            <w:pPr>
              <w:rPr>
                <w:rFonts w:ascii="Cambria Math" w:hAnsi="Cambria Math" w:cs="Calibri"/>
                <w:b/>
                <w:bCs/>
                <w:kern w:val="2"/>
              </w:rPr>
            </w:pPr>
            <w:r w:rsidRPr="00FC0B4D">
              <w:rPr>
                <w:rFonts w:ascii="Cambria Math" w:hAnsi="Cambria Math"/>
              </w:rPr>
              <w:t>Ekran infuzji umożliwiający wyświetlenie następujących informacji jednocześnie:</w:t>
            </w:r>
          </w:p>
          <w:p w14:paraId="58E47253" w14:textId="77777777" w:rsidR="0031409A" w:rsidRPr="00FC0B4D" w:rsidRDefault="0031409A" w:rsidP="0031409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nazwa leku,</w:t>
            </w:r>
          </w:p>
          <w:p w14:paraId="4F02BA0F" w14:textId="77777777" w:rsidR="0031409A" w:rsidRPr="00FC0B4D" w:rsidRDefault="0031409A" w:rsidP="0031409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koncentracja leku,</w:t>
            </w:r>
          </w:p>
          <w:p w14:paraId="36A8BE79" w14:textId="77777777" w:rsidR="0031409A" w:rsidRPr="00FC0B4D" w:rsidRDefault="0031409A" w:rsidP="0031409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szybkość infuzji,</w:t>
            </w:r>
          </w:p>
          <w:p w14:paraId="029FE674" w14:textId="77777777" w:rsidR="0031409A" w:rsidRPr="00FC0B4D" w:rsidRDefault="0031409A" w:rsidP="0031409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informacji, że wartość szybkości infuzji mieści się w zalecanym zakresie lub znajduje się w zakresie limitu miękkiego dolnego lub górnego,</w:t>
            </w:r>
          </w:p>
          <w:p w14:paraId="4B588FFC" w14:textId="77777777" w:rsidR="0031409A" w:rsidRPr="00FC0B4D" w:rsidRDefault="0031409A" w:rsidP="0031409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podana dawka,</w:t>
            </w:r>
          </w:p>
          <w:p w14:paraId="1F9897F5" w14:textId="77777777" w:rsidR="0031409A" w:rsidRPr="00FC0B4D" w:rsidRDefault="0031409A" w:rsidP="0031409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lastRenderedPageBreak/>
              <w:t>poziom limitów dla szybkości infuzji,</w:t>
            </w:r>
          </w:p>
          <w:p w14:paraId="3C0A6194" w14:textId="77777777" w:rsidR="0031409A" w:rsidRPr="00FC0B4D" w:rsidRDefault="0031409A" w:rsidP="0031409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czas do końca dawki lub czas do końca strzykawki w formie graficznej,</w:t>
            </w:r>
          </w:p>
          <w:p w14:paraId="754E40DB" w14:textId="77777777" w:rsidR="0031409A" w:rsidRPr="00FC0B4D" w:rsidRDefault="0031409A" w:rsidP="0031409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kategorii leku wyodrębnionej kolorem,</w:t>
            </w:r>
          </w:p>
          <w:p w14:paraId="561B0672" w14:textId="77777777" w:rsidR="0031409A" w:rsidRPr="00FC0B4D" w:rsidRDefault="0031409A" w:rsidP="0031409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stan naładowania akumulatora,</w:t>
            </w:r>
          </w:p>
          <w:p w14:paraId="60C6A888" w14:textId="65D32B0A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aktualne ciśnienie w linii pacjenta w formie graficznej.</w:t>
            </w:r>
          </w:p>
        </w:tc>
        <w:tc>
          <w:tcPr>
            <w:tcW w:w="1559" w:type="dxa"/>
            <w:vAlign w:val="center"/>
          </w:tcPr>
          <w:p w14:paraId="403C474B" w14:textId="2EF9B94A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lastRenderedPageBreak/>
              <w:t>Tak, podać</w:t>
            </w:r>
          </w:p>
        </w:tc>
        <w:tc>
          <w:tcPr>
            <w:tcW w:w="2127" w:type="dxa"/>
            <w:vAlign w:val="center"/>
          </w:tcPr>
          <w:p w14:paraId="6387D293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688C3E5A" w14:textId="77777777" w:rsidTr="003A4CCF">
        <w:trPr>
          <w:trHeight w:val="70"/>
        </w:trPr>
        <w:tc>
          <w:tcPr>
            <w:tcW w:w="567" w:type="dxa"/>
            <w:vAlign w:val="center"/>
          </w:tcPr>
          <w:p w14:paraId="3E119A45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818A4" w14:textId="7127007D" w:rsidR="0031409A" w:rsidRPr="004B26E8" w:rsidRDefault="0031409A" w:rsidP="0031409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Ekran dotykowy, przyspieszający wybór funkcji pompy.</w:t>
            </w:r>
          </w:p>
        </w:tc>
        <w:tc>
          <w:tcPr>
            <w:tcW w:w="1559" w:type="dxa"/>
            <w:vAlign w:val="center"/>
          </w:tcPr>
          <w:p w14:paraId="02B621AD" w14:textId="3D461071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369203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01AFFD72" w14:textId="77777777" w:rsidTr="003A4CCF">
        <w:trPr>
          <w:trHeight w:val="351"/>
        </w:trPr>
        <w:tc>
          <w:tcPr>
            <w:tcW w:w="567" w:type="dxa"/>
            <w:vAlign w:val="center"/>
          </w:tcPr>
          <w:p w14:paraId="6A850DD6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0C33B" w14:textId="004A9DCC" w:rsidR="0031409A" w:rsidRPr="004B26E8" w:rsidRDefault="0031409A" w:rsidP="0031409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Kolorystyczne wyróżnienie ekranu infuzji do żywienia dojelitowego względem innych realizowanych infuzji.</w:t>
            </w:r>
          </w:p>
        </w:tc>
        <w:tc>
          <w:tcPr>
            <w:tcW w:w="1559" w:type="dxa"/>
            <w:vAlign w:val="center"/>
          </w:tcPr>
          <w:p w14:paraId="39FE64E8" w14:textId="43F1A09C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F71F424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7B44BEEE" w14:textId="77777777" w:rsidTr="003A4CCF">
        <w:trPr>
          <w:trHeight w:val="70"/>
        </w:trPr>
        <w:tc>
          <w:tcPr>
            <w:tcW w:w="567" w:type="dxa"/>
            <w:vAlign w:val="center"/>
          </w:tcPr>
          <w:p w14:paraId="6109F53E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24907" w14:textId="49943B41" w:rsidR="0031409A" w:rsidRPr="004B26E8" w:rsidRDefault="0031409A" w:rsidP="0031409A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FC0B4D">
              <w:rPr>
                <w:rFonts w:ascii="Cambria Math" w:hAnsi="Cambria Math"/>
              </w:rPr>
              <w:t>Napisy na wyświetlaczu w języku polskim.</w:t>
            </w:r>
          </w:p>
        </w:tc>
        <w:tc>
          <w:tcPr>
            <w:tcW w:w="1559" w:type="dxa"/>
            <w:vAlign w:val="center"/>
          </w:tcPr>
          <w:p w14:paraId="168874E7" w14:textId="27AB472E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BF96FDA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02748011" w14:textId="77777777" w:rsidTr="003A4CCF">
        <w:trPr>
          <w:trHeight w:val="70"/>
        </w:trPr>
        <w:tc>
          <w:tcPr>
            <w:tcW w:w="567" w:type="dxa"/>
            <w:vAlign w:val="center"/>
          </w:tcPr>
          <w:p w14:paraId="10C69031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662B2" w14:textId="56B20388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Regulowane progi ciśnienia okluzji, 12 poziomów.</w:t>
            </w:r>
          </w:p>
        </w:tc>
        <w:tc>
          <w:tcPr>
            <w:tcW w:w="1559" w:type="dxa"/>
            <w:vAlign w:val="center"/>
          </w:tcPr>
          <w:p w14:paraId="205517AA" w14:textId="70D686A0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7995CB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41DEC0BB" w14:textId="77777777" w:rsidTr="003A4CCF">
        <w:trPr>
          <w:trHeight w:val="70"/>
        </w:trPr>
        <w:tc>
          <w:tcPr>
            <w:tcW w:w="567" w:type="dxa"/>
            <w:vAlign w:val="center"/>
          </w:tcPr>
          <w:p w14:paraId="09AE0593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89850" w14:textId="063E553F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Progi ciśnienia regulowane w zakresie 75-900 mmHg.</w:t>
            </w:r>
          </w:p>
        </w:tc>
        <w:tc>
          <w:tcPr>
            <w:tcW w:w="1559" w:type="dxa"/>
            <w:vAlign w:val="center"/>
          </w:tcPr>
          <w:p w14:paraId="6E9832F1" w14:textId="32856AD6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FE72762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3D87258A" w14:textId="77777777" w:rsidTr="003A4CCF">
        <w:trPr>
          <w:trHeight w:val="70"/>
        </w:trPr>
        <w:tc>
          <w:tcPr>
            <w:tcW w:w="567" w:type="dxa"/>
            <w:vAlign w:val="center"/>
          </w:tcPr>
          <w:p w14:paraId="119F4E40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A8F8" w14:textId="20590763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Zmiana progu ciśnienia okluzji bez przerywania infuzji.</w:t>
            </w:r>
          </w:p>
        </w:tc>
        <w:tc>
          <w:tcPr>
            <w:tcW w:w="1559" w:type="dxa"/>
            <w:vAlign w:val="center"/>
          </w:tcPr>
          <w:p w14:paraId="67240304" w14:textId="43605B4C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B9490E2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570C35E6" w14:textId="77777777" w:rsidTr="003A4CCF">
        <w:trPr>
          <w:trHeight w:val="70"/>
        </w:trPr>
        <w:tc>
          <w:tcPr>
            <w:tcW w:w="567" w:type="dxa"/>
            <w:vAlign w:val="center"/>
          </w:tcPr>
          <w:p w14:paraId="04B7E74B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D8A7" w14:textId="127D2EF8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 xml:space="preserve">Automatyczna redukcja bolusa </w:t>
            </w:r>
            <w:proofErr w:type="spellStart"/>
            <w:r w:rsidRPr="00FC0B4D">
              <w:rPr>
                <w:rFonts w:ascii="Cambria Math" w:hAnsi="Cambria Math"/>
              </w:rPr>
              <w:t>okluzyjnego</w:t>
            </w:r>
            <w:proofErr w:type="spellEnd"/>
            <w:r w:rsidRPr="00FC0B4D">
              <w:rPr>
                <w:rFonts w:ascii="Cambria Math" w:hAnsi="Cambria Math"/>
              </w:rPr>
              <w:t>.</w:t>
            </w:r>
          </w:p>
        </w:tc>
        <w:tc>
          <w:tcPr>
            <w:tcW w:w="1559" w:type="dxa"/>
            <w:vAlign w:val="center"/>
          </w:tcPr>
          <w:p w14:paraId="52F43F2E" w14:textId="629B5E5B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F28B09B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0E3A156F" w14:textId="77777777" w:rsidTr="003A4CCF">
        <w:trPr>
          <w:trHeight w:val="70"/>
        </w:trPr>
        <w:tc>
          <w:tcPr>
            <w:tcW w:w="567" w:type="dxa"/>
            <w:vAlign w:val="center"/>
          </w:tcPr>
          <w:p w14:paraId="0A7CA1AF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363FA" w14:textId="677F96F0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1559" w:type="dxa"/>
            <w:vAlign w:val="center"/>
          </w:tcPr>
          <w:p w14:paraId="1C2F70DF" w14:textId="7D7FAA89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09E8EF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6A1BB8F9" w14:textId="77777777" w:rsidTr="00470BD8">
        <w:trPr>
          <w:trHeight w:val="70"/>
        </w:trPr>
        <w:tc>
          <w:tcPr>
            <w:tcW w:w="567" w:type="dxa"/>
            <w:vAlign w:val="center"/>
          </w:tcPr>
          <w:p w14:paraId="6554F96C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73E5" w14:textId="77777777" w:rsidR="0031409A" w:rsidRPr="00FC0B4D" w:rsidRDefault="0031409A" w:rsidP="0031409A">
            <w:pPr>
              <w:rPr>
                <w:rFonts w:ascii="Cambria Math" w:eastAsia="Times New Roman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Możliwość instalacji pompy w stacji dokującej:</w:t>
            </w:r>
          </w:p>
          <w:p w14:paraId="1F40D197" w14:textId="77777777" w:rsidR="0031409A" w:rsidRPr="00FC0B4D" w:rsidRDefault="0031409A" w:rsidP="0031409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Zatrzaskowe mocowanie z automatyczną blokadą, bez konieczności przykręcania.</w:t>
            </w:r>
          </w:p>
          <w:p w14:paraId="14B54694" w14:textId="77777777" w:rsidR="0031409A" w:rsidRPr="00FC0B4D" w:rsidRDefault="0031409A" w:rsidP="0031409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Alarm nieprawidłowego mocowania pomp w stacji,</w:t>
            </w:r>
          </w:p>
          <w:p w14:paraId="09616280" w14:textId="77777777" w:rsidR="0031409A" w:rsidRPr="00FC0B4D" w:rsidRDefault="0031409A" w:rsidP="0031409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 xml:space="preserve">Pompy mocowane niezależnie, jedna nad drugą, </w:t>
            </w:r>
          </w:p>
          <w:p w14:paraId="780C8DF5" w14:textId="77777777" w:rsidR="0031409A" w:rsidRPr="00FC0B4D" w:rsidRDefault="0031409A" w:rsidP="0031409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Automatyczne przyłączenie zasilania ze stacji dokującej,</w:t>
            </w:r>
          </w:p>
          <w:p w14:paraId="14AED875" w14:textId="77777777" w:rsidR="0031409A" w:rsidRPr="00FC0B4D" w:rsidRDefault="0031409A" w:rsidP="0031409A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Cambria Math" w:hAnsi="Cambria Math"/>
                <w:b/>
                <w:bCs/>
              </w:rPr>
            </w:pPr>
            <w:r w:rsidRPr="00FC0B4D">
              <w:rPr>
                <w:rFonts w:ascii="Cambria Math" w:hAnsi="Cambria Math"/>
              </w:rPr>
              <w:t>Automatyczne przyłączenie portu komunikacyjnego ze stacji dokującej,</w:t>
            </w:r>
          </w:p>
          <w:p w14:paraId="07F1839F" w14:textId="12B2BC13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Świetlna sygnalizacja stanu pomp: infuzja, alarm, STOP.</w:t>
            </w:r>
          </w:p>
        </w:tc>
        <w:tc>
          <w:tcPr>
            <w:tcW w:w="1559" w:type="dxa"/>
            <w:vAlign w:val="center"/>
          </w:tcPr>
          <w:p w14:paraId="57532701" w14:textId="25BE560A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C0C2CB4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5BC09A6A" w14:textId="77777777" w:rsidTr="003A4CCF">
        <w:trPr>
          <w:trHeight w:val="70"/>
        </w:trPr>
        <w:tc>
          <w:tcPr>
            <w:tcW w:w="567" w:type="dxa"/>
            <w:vAlign w:val="center"/>
          </w:tcPr>
          <w:p w14:paraId="44942284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CF7AD" w14:textId="6DE5E7E3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  <w:tc>
          <w:tcPr>
            <w:tcW w:w="1559" w:type="dxa"/>
            <w:vAlign w:val="center"/>
          </w:tcPr>
          <w:p w14:paraId="60B65387" w14:textId="11F7724F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DAF5E47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6DCD1B53" w14:textId="77777777" w:rsidTr="003A4CCF">
        <w:trPr>
          <w:trHeight w:val="70"/>
        </w:trPr>
        <w:tc>
          <w:tcPr>
            <w:tcW w:w="567" w:type="dxa"/>
            <w:vAlign w:val="center"/>
          </w:tcPr>
          <w:p w14:paraId="57D8447D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5B89" w14:textId="27FDD824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1559" w:type="dxa"/>
            <w:vAlign w:val="center"/>
          </w:tcPr>
          <w:p w14:paraId="076C4E5F" w14:textId="5CE90EC6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1073D72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292F764F" w14:textId="77777777" w:rsidTr="003A4CCF">
        <w:trPr>
          <w:trHeight w:val="70"/>
        </w:trPr>
        <w:tc>
          <w:tcPr>
            <w:tcW w:w="567" w:type="dxa"/>
            <w:vAlign w:val="center"/>
          </w:tcPr>
          <w:p w14:paraId="709E21FB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A8A7F" w14:textId="5059AD7A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Uchwyt do przenoszenia pompy na stałe związany z pompą, niewymagający odłączania przy mocowaniu pomp w stacjach dokujących.</w:t>
            </w:r>
          </w:p>
        </w:tc>
        <w:tc>
          <w:tcPr>
            <w:tcW w:w="1559" w:type="dxa"/>
            <w:vAlign w:val="center"/>
          </w:tcPr>
          <w:p w14:paraId="46F03521" w14:textId="73E8A61B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8330ABC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171A84A0" w14:textId="77777777" w:rsidTr="003A4CCF">
        <w:trPr>
          <w:trHeight w:val="70"/>
        </w:trPr>
        <w:tc>
          <w:tcPr>
            <w:tcW w:w="567" w:type="dxa"/>
            <w:vAlign w:val="center"/>
          </w:tcPr>
          <w:p w14:paraId="1CDA8E64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55611" w14:textId="1B60F757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 xml:space="preserve">Możliwość komunikacji pomp umieszczonych w stacjach dokujących </w:t>
            </w:r>
            <w:r w:rsidRPr="00FC0B4D">
              <w:rPr>
                <w:rFonts w:ascii="Cambria Math" w:hAnsi="Cambria Math"/>
                <w:kern w:val="20"/>
              </w:rPr>
              <w:t xml:space="preserve">wyposażonych w </w:t>
            </w:r>
            <w:proofErr w:type="spellStart"/>
            <w:r w:rsidRPr="00FC0B4D">
              <w:rPr>
                <w:rFonts w:ascii="Cambria Math" w:hAnsi="Cambria Math"/>
                <w:kern w:val="20"/>
              </w:rPr>
              <w:t>interface</w:t>
            </w:r>
            <w:proofErr w:type="spellEnd"/>
            <w:r w:rsidRPr="00FC0B4D">
              <w:rPr>
                <w:rFonts w:ascii="Cambria Math" w:hAnsi="Cambria Math"/>
                <w:kern w:val="20"/>
              </w:rPr>
              <w:t xml:space="preserve"> LAN z oprogramowaniem zewnętrznym.</w:t>
            </w:r>
          </w:p>
        </w:tc>
        <w:tc>
          <w:tcPr>
            <w:tcW w:w="1559" w:type="dxa"/>
            <w:vAlign w:val="center"/>
          </w:tcPr>
          <w:p w14:paraId="07138573" w14:textId="3F395464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2F333E5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7174AF25" w14:textId="77777777" w:rsidTr="003A4CCF">
        <w:trPr>
          <w:trHeight w:val="70"/>
        </w:trPr>
        <w:tc>
          <w:tcPr>
            <w:tcW w:w="567" w:type="dxa"/>
            <w:vAlign w:val="center"/>
          </w:tcPr>
          <w:p w14:paraId="6F5EBCF2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3936A" w14:textId="71FD8C29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Historia infuzji – możliwość zapamiętania 2000 zdarzeń oznaczonych datą i godziną zdarzenia.</w:t>
            </w:r>
          </w:p>
        </w:tc>
        <w:tc>
          <w:tcPr>
            <w:tcW w:w="1559" w:type="dxa"/>
            <w:vAlign w:val="center"/>
          </w:tcPr>
          <w:p w14:paraId="72BB1AF4" w14:textId="15676077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05ED7E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3141C95B" w14:textId="77777777" w:rsidTr="003A4CCF">
        <w:trPr>
          <w:trHeight w:val="70"/>
        </w:trPr>
        <w:tc>
          <w:tcPr>
            <w:tcW w:w="567" w:type="dxa"/>
            <w:vAlign w:val="center"/>
          </w:tcPr>
          <w:p w14:paraId="24701D5F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393F5" w14:textId="26F6ECA5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Klasa ochrony II, typ CF, odporność na defibrylację, ochrona obudowy IP22</w:t>
            </w:r>
          </w:p>
        </w:tc>
        <w:tc>
          <w:tcPr>
            <w:tcW w:w="1559" w:type="dxa"/>
            <w:vAlign w:val="center"/>
          </w:tcPr>
          <w:p w14:paraId="7BF02505" w14:textId="39EC6A6E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6C93D4F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4D68F65F" w14:textId="77777777" w:rsidTr="003A4CCF">
        <w:trPr>
          <w:trHeight w:val="70"/>
        </w:trPr>
        <w:tc>
          <w:tcPr>
            <w:tcW w:w="567" w:type="dxa"/>
            <w:vAlign w:val="center"/>
          </w:tcPr>
          <w:p w14:paraId="22973DF9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455D" w14:textId="69E13135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Zasilanie pomp mocowanych poza stacją dokującą bezpośrednio z sieci energetycznej</w:t>
            </w:r>
          </w:p>
        </w:tc>
        <w:tc>
          <w:tcPr>
            <w:tcW w:w="1559" w:type="dxa"/>
            <w:vAlign w:val="center"/>
          </w:tcPr>
          <w:p w14:paraId="403EB456" w14:textId="3DBBD674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0991FE2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204550D4" w14:textId="77777777" w:rsidTr="003A4CCF">
        <w:trPr>
          <w:trHeight w:val="70"/>
        </w:trPr>
        <w:tc>
          <w:tcPr>
            <w:tcW w:w="567" w:type="dxa"/>
            <w:vAlign w:val="center"/>
          </w:tcPr>
          <w:p w14:paraId="4EC0691C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45C4" w14:textId="7F29B217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Czas pracy z akumulatora do 30 h przy infuzji 5ml/h</w:t>
            </w:r>
          </w:p>
        </w:tc>
        <w:tc>
          <w:tcPr>
            <w:tcW w:w="1559" w:type="dxa"/>
            <w:vAlign w:val="center"/>
          </w:tcPr>
          <w:p w14:paraId="34BA4DF0" w14:textId="6A1EE778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A4CD2F1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31C0C550" w14:textId="77777777" w:rsidTr="003A4CCF">
        <w:trPr>
          <w:trHeight w:val="70"/>
        </w:trPr>
        <w:tc>
          <w:tcPr>
            <w:tcW w:w="567" w:type="dxa"/>
            <w:vAlign w:val="center"/>
          </w:tcPr>
          <w:p w14:paraId="1E3A905C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0EDDE" w14:textId="7DA21583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Czas ładowania akumulatora do 100% po pełnym rozładowaniu – poniżej 5 h</w:t>
            </w:r>
          </w:p>
        </w:tc>
        <w:tc>
          <w:tcPr>
            <w:tcW w:w="1559" w:type="dxa"/>
            <w:vAlign w:val="center"/>
          </w:tcPr>
          <w:p w14:paraId="4F722C53" w14:textId="3EA2E3CD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A1B3B59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665AA5CC" w14:textId="77777777" w:rsidTr="003A4CCF">
        <w:trPr>
          <w:trHeight w:val="70"/>
        </w:trPr>
        <w:tc>
          <w:tcPr>
            <w:tcW w:w="567" w:type="dxa"/>
            <w:vAlign w:val="center"/>
          </w:tcPr>
          <w:p w14:paraId="02AE139E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345D9" w14:textId="4E2037DA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Pompa kompatybilna ze stacją dokującą z pakietu 7</w:t>
            </w:r>
          </w:p>
        </w:tc>
        <w:tc>
          <w:tcPr>
            <w:tcW w:w="1559" w:type="dxa"/>
            <w:vAlign w:val="center"/>
          </w:tcPr>
          <w:p w14:paraId="290B918B" w14:textId="1D4D0F3C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BDB47B4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30D187FD" w14:textId="77777777" w:rsidTr="003A4CCF">
        <w:trPr>
          <w:trHeight w:val="70"/>
        </w:trPr>
        <w:tc>
          <w:tcPr>
            <w:tcW w:w="567" w:type="dxa"/>
            <w:vAlign w:val="center"/>
          </w:tcPr>
          <w:p w14:paraId="4B5E4AD4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98CC4" w14:textId="450B8A60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Waga do 2,3 kg.</w:t>
            </w:r>
          </w:p>
        </w:tc>
        <w:tc>
          <w:tcPr>
            <w:tcW w:w="1559" w:type="dxa"/>
            <w:vAlign w:val="center"/>
          </w:tcPr>
          <w:p w14:paraId="1B4A2EAC" w14:textId="0A09F6F5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ED2C84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22F34AD6" w14:textId="77777777" w:rsidTr="003A4CCF">
        <w:trPr>
          <w:trHeight w:val="70"/>
        </w:trPr>
        <w:tc>
          <w:tcPr>
            <w:tcW w:w="567" w:type="dxa"/>
            <w:vAlign w:val="center"/>
          </w:tcPr>
          <w:p w14:paraId="01C349CA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28461" w14:textId="66C85918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Instrukcja w języku polskim</w:t>
            </w:r>
          </w:p>
        </w:tc>
        <w:tc>
          <w:tcPr>
            <w:tcW w:w="1559" w:type="dxa"/>
            <w:vAlign w:val="center"/>
          </w:tcPr>
          <w:p w14:paraId="61CD4758" w14:textId="304E3223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B36DE1A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520EAA13" w14:textId="77777777" w:rsidTr="003A4CCF">
        <w:trPr>
          <w:trHeight w:val="70"/>
        </w:trPr>
        <w:tc>
          <w:tcPr>
            <w:tcW w:w="567" w:type="dxa"/>
            <w:vAlign w:val="center"/>
          </w:tcPr>
          <w:p w14:paraId="360B1AF4" w14:textId="77777777" w:rsidR="0031409A" w:rsidRPr="004B26E8" w:rsidRDefault="0031409A" w:rsidP="0031409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5D3A3" w14:textId="2F0ECDDA" w:rsidR="0031409A" w:rsidRPr="004B26E8" w:rsidRDefault="0031409A" w:rsidP="0031409A">
            <w:pPr>
              <w:rPr>
                <w:rFonts w:ascii="Cambria Math" w:hAnsi="Cambria Math" w:cs="Calibri"/>
                <w:color w:val="000000"/>
              </w:rPr>
            </w:pPr>
            <w:r w:rsidRPr="00FC0B4D">
              <w:rPr>
                <w:rFonts w:ascii="Cambria Math" w:hAnsi="Cambria Math"/>
              </w:rPr>
              <w:t>Gwarancja min. 24 m-ce</w:t>
            </w:r>
          </w:p>
        </w:tc>
        <w:tc>
          <w:tcPr>
            <w:tcW w:w="1559" w:type="dxa"/>
            <w:vAlign w:val="center"/>
          </w:tcPr>
          <w:p w14:paraId="5764FB9D" w14:textId="42E62B2D" w:rsidR="0031409A" w:rsidRPr="004B26E8" w:rsidRDefault="0031409A" w:rsidP="0031409A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815A959" w14:textId="77777777" w:rsidR="0031409A" w:rsidRPr="005E49FE" w:rsidRDefault="0031409A" w:rsidP="0031409A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31409A" w:rsidRPr="005E49FE" w14:paraId="1DB4BD06" w14:textId="77777777" w:rsidTr="00470BD8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5649D96F" w14:textId="77777777" w:rsidR="0031409A" w:rsidRDefault="0031409A" w:rsidP="0031409A">
            <w:pPr>
              <w:pStyle w:val="Bezodstpw"/>
              <w:jc w:val="center"/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</w:pPr>
          </w:p>
          <w:p w14:paraId="05555C69" w14:textId="77777777" w:rsidR="0031409A" w:rsidRDefault="0031409A" w:rsidP="0031409A">
            <w:pPr>
              <w:pStyle w:val="Bezodstpw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127614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>Stacja dokująca do pompy infuzyjnej</w:t>
            </w:r>
            <w:r w:rsidRPr="00470BD8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470BD8">
              <w:rPr>
                <w:rFonts w:ascii="Cambria Math" w:hAnsi="Cambria Math" w:cs="Times New Roman"/>
                <w:b/>
                <w:bCs/>
              </w:rPr>
              <w:t xml:space="preserve">– </w:t>
            </w:r>
            <w:r>
              <w:rPr>
                <w:rFonts w:ascii="Cambria Math" w:hAnsi="Cambria Math" w:cs="Times New Roman"/>
                <w:b/>
                <w:bCs/>
              </w:rPr>
              <w:t>2</w:t>
            </w:r>
            <w:r w:rsidRPr="00470BD8">
              <w:rPr>
                <w:rFonts w:ascii="Cambria Math" w:hAnsi="Cambria Math" w:cs="Times New Roman"/>
                <w:b/>
                <w:bCs/>
              </w:rPr>
              <w:t xml:space="preserve"> szt.</w:t>
            </w:r>
          </w:p>
          <w:p w14:paraId="6FC2C2B6" w14:textId="75FBC1E1" w:rsidR="0031409A" w:rsidRPr="00470BD8" w:rsidRDefault="0031409A" w:rsidP="0031409A">
            <w:pPr>
              <w:pStyle w:val="Bezodstpw"/>
              <w:jc w:val="center"/>
              <w:rPr>
                <w:rFonts w:ascii="Cambria Math" w:hAnsi="Cambria Math" w:cs="Times New Roman"/>
                <w:b/>
                <w:bCs/>
              </w:rPr>
            </w:pPr>
          </w:p>
        </w:tc>
      </w:tr>
      <w:tr w:rsidR="00007A74" w:rsidRPr="005E49FE" w14:paraId="42664615" w14:textId="77777777" w:rsidTr="00470BD8">
        <w:trPr>
          <w:trHeight w:val="70"/>
        </w:trPr>
        <w:tc>
          <w:tcPr>
            <w:tcW w:w="567" w:type="dxa"/>
            <w:vAlign w:val="center"/>
          </w:tcPr>
          <w:p w14:paraId="0D89AA19" w14:textId="55F459F4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754F32FB" w14:textId="202C3738" w:rsidR="00007A74" w:rsidRPr="004B26E8" w:rsidRDefault="00007A74" w:rsidP="00007A74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 xml:space="preserve">Możliwość mocowania  do  </w:t>
            </w:r>
            <w:r w:rsidRPr="00AD65DD">
              <w:rPr>
                <w:rFonts w:ascii="Cambria Math" w:hAnsi="Cambria Math"/>
                <w:u w:color="FF0000"/>
              </w:rPr>
              <w:t xml:space="preserve">4 </w:t>
            </w:r>
            <w:r w:rsidRPr="00AD65DD">
              <w:rPr>
                <w:rFonts w:ascii="Cambria Math" w:hAnsi="Cambria Math"/>
              </w:rPr>
              <w:t xml:space="preserve"> pomp infuzyjnych </w:t>
            </w:r>
          </w:p>
        </w:tc>
        <w:tc>
          <w:tcPr>
            <w:tcW w:w="1559" w:type="dxa"/>
            <w:vAlign w:val="center"/>
          </w:tcPr>
          <w:p w14:paraId="7A63C655" w14:textId="0F065EA3" w:rsidR="00007A74" w:rsidRPr="004B26E8" w:rsidRDefault="00007A74" w:rsidP="00007A74">
            <w:pPr>
              <w:jc w:val="center"/>
              <w:rPr>
                <w:rFonts w:ascii="Cambria Math" w:hAnsi="Cambria Math" w:cs="Calibri"/>
                <w:b/>
                <w:bCs/>
                <w:color w:val="000000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708F0C9F" w14:textId="77777777" w:rsidTr="00470BD8">
        <w:trPr>
          <w:trHeight w:val="70"/>
        </w:trPr>
        <w:tc>
          <w:tcPr>
            <w:tcW w:w="567" w:type="dxa"/>
            <w:vAlign w:val="center"/>
          </w:tcPr>
          <w:p w14:paraId="33641BF2" w14:textId="1F0C78F0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0D886" w14:textId="5B4F337D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Obudowa stacji wykonana z tworzywa typu ABS</w:t>
            </w:r>
          </w:p>
        </w:tc>
        <w:tc>
          <w:tcPr>
            <w:tcW w:w="1559" w:type="dxa"/>
            <w:vAlign w:val="center"/>
          </w:tcPr>
          <w:p w14:paraId="29CF5CB4" w14:textId="02694FFC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431D14FD" w14:textId="77777777" w:rsidTr="00470BD8">
        <w:trPr>
          <w:trHeight w:val="70"/>
        </w:trPr>
        <w:tc>
          <w:tcPr>
            <w:tcW w:w="567" w:type="dxa"/>
            <w:vAlign w:val="center"/>
          </w:tcPr>
          <w:p w14:paraId="1C83838A" w14:textId="5C1A4730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A159A" w14:textId="08771B94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 xml:space="preserve">Waga stacji odpowiednio: </w:t>
            </w:r>
            <w:r w:rsidRPr="00AD65DD">
              <w:rPr>
                <w:rFonts w:ascii="Cambria Math" w:hAnsi="Cambria Math"/>
                <w:u w:color="FF0000"/>
              </w:rPr>
              <w:t>do</w:t>
            </w:r>
            <w:r w:rsidRPr="00AD65DD">
              <w:rPr>
                <w:rFonts w:ascii="Cambria Math" w:hAnsi="Cambria Math"/>
              </w:rPr>
              <w:t xml:space="preserve"> </w:t>
            </w:r>
            <w:r w:rsidRPr="00AD65DD">
              <w:rPr>
                <w:rFonts w:ascii="Cambria Math" w:hAnsi="Cambria Math"/>
                <w:u w:color="FF0000"/>
              </w:rPr>
              <w:t>3,8 kg</w:t>
            </w:r>
            <w:r w:rsidRPr="00AD65DD">
              <w:rPr>
                <w:rFonts w:ascii="Cambria Math" w:hAnsi="Cambria Math"/>
                <w:u w:color="1F497D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6FBB84C" w14:textId="1D2E35F0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12F46438" w14:textId="77777777" w:rsidTr="00470BD8">
        <w:trPr>
          <w:trHeight w:val="70"/>
        </w:trPr>
        <w:tc>
          <w:tcPr>
            <w:tcW w:w="567" w:type="dxa"/>
            <w:vAlign w:val="center"/>
          </w:tcPr>
          <w:p w14:paraId="4C2F24E5" w14:textId="1C336647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43FA" w14:textId="5C69B616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Mocowanie stacji do pionowych rur, kolumn</w:t>
            </w:r>
          </w:p>
        </w:tc>
        <w:tc>
          <w:tcPr>
            <w:tcW w:w="1559" w:type="dxa"/>
            <w:vAlign w:val="center"/>
          </w:tcPr>
          <w:p w14:paraId="76E79F0A" w14:textId="10D8054B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00AFF6E6" w14:textId="77777777" w:rsidTr="00470BD8">
        <w:trPr>
          <w:trHeight w:val="70"/>
        </w:trPr>
        <w:tc>
          <w:tcPr>
            <w:tcW w:w="567" w:type="dxa"/>
            <w:vAlign w:val="center"/>
          </w:tcPr>
          <w:p w14:paraId="63ABEFF4" w14:textId="1A52D7AC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15B00" w14:textId="5E7B421B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Zasilanie 230 V AC 50Hz</w:t>
            </w:r>
          </w:p>
        </w:tc>
        <w:tc>
          <w:tcPr>
            <w:tcW w:w="1559" w:type="dxa"/>
            <w:vAlign w:val="center"/>
          </w:tcPr>
          <w:p w14:paraId="58ACF666" w14:textId="4A4FD534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E759A5E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10F4A42D" w14:textId="77777777" w:rsidTr="00470BD8">
        <w:trPr>
          <w:trHeight w:val="70"/>
        </w:trPr>
        <w:tc>
          <w:tcPr>
            <w:tcW w:w="567" w:type="dxa"/>
            <w:vAlign w:val="center"/>
          </w:tcPr>
          <w:p w14:paraId="2E23E273" w14:textId="6C79E0EE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321C1" w14:textId="39A3F707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System szybkiego mocowania pomp w stacji dokującej – bez konieczności demontażu elementów pompy</w:t>
            </w:r>
          </w:p>
        </w:tc>
        <w:tc>
          <w:tcPr>
            <w:tcW w:w="1559" w:type="dxa"/>
            <w:vAlign w:val="center"/>
          </w:tcPr>
          <w:p w14:paraId="4022C9FF" w14:textId="73B30640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AC1029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7A13A254" w14:textId="77777777" w:rsidTr="00470BD8">
        <w:trPr>
          <w:trHeight w:val="70"/>
        </w:trPr>
        <w:tc>
          <w:tcPr>
            <w:tcW w:w="567" w:type="dxa"/>
            <w:vAlign w:val="center"/>
          </w:tcPr>
          <w:p w14:paraId="74B4F631" w14:textId="7ADBF09B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A0DF" w14:textId="62488CA0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Możliwość szybkiego wyjęcia ze stacji każdej (dowolnej) pompy</w:t>
            </w:r>
          </w:p>
        </w:tc>
        <w:tc>
          <w:tcPr>
            <w:tcW w:w="1559" w:type="dxa"/>
            <w:vAlign w:val="center"/>
          </w:tcPr>
          <w:p w14:paraId="39097A95" w14:textId="3603C7B3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BB06B5D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362449E5" w14:textId="77777777" w:rsidTr="00470BD8">
        <w:trPr>
          <w:trHeight w:val="70"/>
        </w:trPr>
        <w:tc>
          <w:tcPr>
            <w:tcW w:w="567" w:type="dxa"/>
            <w:vAlign w:val="center"/>
          </w:tcPr>
          <w:p w14:paraId="5334FD36" w14:textId="3D522618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2D54A" w14:textId="1447C21A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Zasilanie pomp ze stacji dokującej – automatyczne przyłączenie zasilania po włożeniu pompy</w:t>
            </w:r>
          </w:p>
        </w:tc>
        <w:tc>
          <w:tcPr>
            <w:tcW w:w="1559" w:type="dxa"/>
            <w:vAlign w:val="center"/>
          </w:tcPr>
          <w:p w14:paraId="431D3519" w14:textId="4A110102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8AE948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332CAD99" w14:textId="77777777" w:rsidTr="00470BD8">
        <w:trPr>
          <w:trHeight w:val="70"/>
        </w:trPr>
        <w:tc>
          <w:tcPr>
            <w:tcW w:w="567" w:type="dxa"/>
            <w:vAlign w:val="center"/>
          </w:tcPr>
          <w:p w14:paraId="39B79068" w14:textId="151CBC18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BAC5D" w14:textId="1FEE091C" w:rsidR="00007A74" w:rsidRPr="004B26E8" w:rsidRDefault="00007A74" w:rsidP="00007A74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>Stacja wyposażona w sygnalizację świetlną, alarmową</w:t>
            </w:r>
          </w:p>
        </w:tc>
        <w:tc>
          <w:tcPr>
            <w:tcW w:w="1559" w:type="dxa"/>
            <w:vAlign w:val="center"/>
          </w:tcPr>
          <w:p w14:paraId="708049AB" w14:textId="0960818C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49715D1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464ADF3B" w14:textId="77777777" w:rsidTr="00470BD8">
        <w:trPr>
          <w:trHeight w:val="70"/>
        </w:trPr>
        <w:tc>
          <w:tcPr>
            <w:tcW w:w="567" w:type="dxa"/>
            <w:vAlign w:val="center"/>
          </w:tcPr>
          <w:p w14:paraId="08E4ED2A" w14:textId="536C04A0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B169C" w14:textId="09E02A5A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Przyłączanie stacji dokujących do systemu informatycznego szpitala.</w:t>
            </w:r>
          </w:p>
        </w:tc>
        <w:tc>
          <w:tcPr>
            <w:tcW w:w="1559" w:type="dxa"/>
            <w:vAlign w:val="center"/>
          </w:tcPr>
          <w:p w14:paraId="144F3AE9" w14:textId="565686D7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E93C720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1FE47067" w14:textId="77777777" w:rsidTr="00470BD8">
        <w:trPr>
          <w:trHeight w:val="70"/>
        </w:trPr>
        <w:tc>
          <w:tcPr>
            <w:tcW w:w="567" w:type="dxa"/>
            <w:vAlign w:val="center"/>
          </w:tcPr>
          <w:p w14:paraId="5825B453" w14:textId="2D07D2BE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3BF4D" w14:textId="77C5747E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Stacja posiadająca uchwyt do swobodnego przenoszenia</w:t>
            </w:r>
          </w:p>
        </w:tc>
        <w:tc>
          <w:tcPr>
            <w:tcW w:w="1559" w:type="dxa"/>
            <w:vAlign w:val="center"/>
          </w:tcPr>
          <w:p w14:paraId="0E4EBD13" w14:textId="03F92F4B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DB83C0B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5453D5C9" w14:textId="77777777" w:rsidTr="00470BD8">
        <w:trPr>
          <w:trHeight w:val="70"/>
        </w:trPr>
        <w:tc>
          <w:tcPr>
            <w:tcW w:w="567" w:type="dxa"/>
            <w:vAlign w:val="center"/>
          </w:tcPr>
          <w:p w14:paraId="04A10951" w14:textId="6637EDBF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F1875" w14:textId="6D12EFA5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Stacja wraz z wysięgnikiem do zawieszania pojemników z  płynami infuzyjnymi</w:t>
            </w:r>
          </w:p>
        </w:tc>
        <w:tc>
          <w:tcPr>
            <w:tcW w:w="1559" w:type="dxa"/>
            <w:vAlign w:val="center"/>
          </w:tcPr>
          <w:p w14:paraId="5F8A048A" w14:textId="09980406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CDCF946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2CC50EFF" w14:textId="77777777" w:rsidTr="00470BD8">
        <w:trPr>
          <w:trHeight w:val="70"/>
        </w:trPr>
        <w:tc>
          <w:tcPr>
            <w:tcW w:w="567" w:type="dxa"/>
            <w:vAlign w:val="center"/>
          </w:tcPr>
          <w:p w14:paraId="5CADE81A" w14:textId="33FB2A50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>
              <w:rPr>
                <w:rFonts w:ascii="Cambria Math" w:hAnsi="Cambria Math"/>
                <w:bCs/>
                <w:color w:val="000000"/>
                <w:spacing w:val="-2"/>
              </w:rPr>
              <w:lastRenderedPageBreak/>
              <w:t>13.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E2183" w14:textId="0A80801C" w:rsidR="00007A74" w:rsidRPr="004B26E8" w:rsidRDefault="00007A74" w:rsidP="00007A74">
            <w:pPr>
              <w:rPr>
                <w:rFonts w:ascii="Cambria Math" w:hAnsi="Cambria Math" w:cs="Calibri"/>
                <w:color w:val="000000"/>
              </w:rPr>
            </w:pPr>
            <w:r w:rsidRPr="00AD65DD">
              <w:rPr>
                <w:rFonts w:ascii="Cambria Math" w:hAnsi="Cambria Math"/>
              </w:rPr>
              <w:t>Stacja kompatybilna z pompą oraz statywem do pomp z tego pakietu</w:t>
            </w:r>
          </w:p>
        </w:tc>
        <w:tc>
          <w:tcPr>
            <w:tcW w:w="1559" w:type="dxa"/>
            <w:vAlign w:val="center"/>
          </w:tcPr>
          <w:p w14:paraId="31485FEE" w14:textId="27DF215D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094EFEC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2005C02F" w14:textId="22FF5669" w:rsidTr="00470BD8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69C75B48" w14:textId="2AE42B0F" w:rsidR="00007A74" w:rsidRPr="0031409A" w:rsidRDefault="00007A74" w:rsidP="00007A74">
            <w:pPr>
              <w:pStyle w:val="Bezodstpw"/>
              <w:spacing w:before="240" w:after="240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31409A">
              <w:rPr>
                <w:rFonts w:ascii="Cambria Math" w:hAnsi="Cambria Math"/>
                <w:b/>
                <w:bCs/>
                <w:color w:val="000000"/>
                <w:sz w:val="18"/>
                <w:szCs w:val="18"/>
              </w:rPr>
              <w:t>STATYW DO STACJI I POMP INFUZYJNYCH – 2 SZT.</w:t>
            </w:r>
          </w:p>
        </w:tc>
      </w:tr>
      <w:tr w:rsidR="00007A74" w:rsidRPr="005E49FE" w14:paraId="0FE89696" w14:textId="77777777" w:rsidTr="00470BD8">
        <w:trPr>
          <w:trHeight w:val="70"/>
        </w:trPr>
        <w:tc>
          <w:tcPr>
            <w:tcW w:w="567" w:type="dxa"/>
            <w:vAlign w:val="center"/>
          </w:tcPr>
          <w:p w14:paraId="430F56B6" w14:textId="6C9A1ADA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3E7E68BF" w14:textId="382ECEC6" w:rsidR="00007A74" w:rsidRPr="004B26E8" w:rsidRDefault="00007A74" w:rsidP="00007A74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>Stabilny stojak umożliwiający łatwe przemieszczanie zestawu urządzeń medycznych</w:t>
            </w:r>
          </w:p>
        </w:tc>
        <w:tc>
          <w:tcPr>
            <w:tcW w:w="1559" w:type="dxa"/>
            <w:vAlign w:val="center"/>
          </w:tcPr>
          <w:p w14:paraId="12853F0E" w14:textId="73DB9B80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D0C37F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01122012" w14:textId="77777777" w:rsidTr="00470BD8">
        <w:trPr>
          <w:trHeight w:val="70"/>
        </w:trPr>
        <w:tc>
          <w:tcPr>
            <w:tcW w:w="567" w:type="dxa"/>
            <w:vAlign w:val="center"/>
          </w:tcPr>
          <w:p w14:paraId="4B1C3A90" w14:textId="2DAB18D4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vAlign w:val="center"/>
          </w:tcPr>
          <w:p w14:paraId="14FF72BE" w14:textId="5DA9AD60" w:rsidR="00007A74" w:rsidRPr="004B26E8" w:rsidRDefault="00007A74" w:rsidP="00007A74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>Podstawa jezdna z możliwością blokowania kół</w:t>
            </w:r>
          </w:p>
        </w:tc>
        <w:tc>
          <w:tcPr>
            <w:tcW w:w="1559" w:type="dxa"/>
            <w:vAlign w:val="center"/>
          </w:tcPr>
          <w:p w14:paraId="26E1A0FE" w14:textId="4AE98100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8E9EC11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2DBE587B" w14:textId="77777777" w:rsidTr="00470BD8">
        <w:trPr>
          <w:trHeight w:val="70"/>
        </w:trPr>
        <w:tc>
          <w:tcPr>
            <w:tcW w:w="567" w:type="dxa"/>
            <w:vAlign w:val="center"/>
          </w:tcPr>
          <w:p w14:paraId="6438D664" w14:textId="29615539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vAlign w:val="center"/>
          </w:tcPr>
          <w:p w14:paraId="7385B1C3" w14:textId="516D31F6" w:rsidR="00007A74" w:rsidRPr="004B26E8" w:rsidRDefault="00007A74" w:rsidP="00007A74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AD65DD">
              <w:rPr>
                <w:rFonts w:ascii="Cambria Math" w:hAnsi="Cambria Math"/>
              </w:rPr>
              <w:t>Rura nośna wykonana ze stali nierdzewnej.</w:t>
            </w:r>
          </w:p>
        </w:tc>
        <w:tc>
          <w:tcPr>
            <w:tcW w:w="1559" w:type="dxa"/>
            <w:vAlign w:val="center"/>
          </w:tcPr>
          <w:p w14:paraId="6B017435" w14:textId="7B06AE72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1D40486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40BAFAB0" w14:textId="77777777" w:rsidTr="00470BD8">
        <w:trPr>
          <w:trHeight w:val="70"/>
        </w:trPr>
        <w:tc>
          <w:tcPr>
            <w:tcW w:w="567" w:type="dxa"/>
            <w:vAlign w:val="center"/>
          </w:tcPr>
          <w:p w14:paraId="31CB18BA" w14:textId="5E29145D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vAlign w:val="center"/>
          </w:tcPr>
          <w:p w14:paraId="57806592" w14:textId="65228E65" w:rsidR="00007A74" w:rsidRPr="004B26E8" w:rsidRDefault="00007A74" w:rsidP="00007A74">
            <w:pPr>
              <w:rPr>
                <w:rFonts w:ascii="Cambria Math" w:hAnsi="Cambria Math" w:cs="Arial"/>
                <w:color w:val="000000"/>
              </w:rPr>
            </w:pPr>
            <w:r w:rsidRPr="00AD65DD">
              <w:rPr>
                <w:rFonts w:ascii="Cambria Math" w:hAnsi="Cambria Math"/>
              </w:rPr>
              <w:t xml:space="preserve">Możliwość mocowania stacji z pompami lub innych urządzeń medycznych o wadze do 35 kg </w:t>
            </w:r>
          </w:p>
        </w:tc>
        <w:tc>
          <w:tcPr>
            <w:tcW w:w="1559" w:type="dxa"/>
            <w:vAlign w:val="center"/>
          </w:tcPr>
          <w:p w14:paraId="73C56F3F" w14:textId="4A5F3643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849C296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007A74" w:rsidRPr="005E49FE" w14:paraId="7A490814" w14:textId="77777777" w:rsidTr="00470BD8">
        <w:trPr>
          <w:trHeight w:val="70"/>
        </w:trPr>
        <w:tc>
          <w:tcPr>
            <w:tcW w:w="567" w:type="dxa"/>
            <w:vAlign w:val="center"/>
          </w:tcPr>
          <w:p w14:paraId="42E44B6C" w14:textId="1ECE215D" w:rsidR="00007A74" w:rsidRPr="002907FE" w:rsidRDefault="00007A74" w:rsidP="00007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2907FE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vAlign w:val="center"/>
          </w:tcPr>
          <w:p w14:paraId="4B2E3AD0" w14:textId="79BDA556" w:rsidR="00007A74" w:rsidRPr="004B26E8" w:rsidRDefault="00007A74" w:rsidP="00007A74">
            <w:pPr>
              <w:rPr>
                <w:rFonts w:ascii="Cambria Math" w:hAnsi="Cambria Math" w:cs="Arial"/>
                <w:color w:val="000000"/>
              </w:rPr>
            </w:pPr>
            <w:r w:rsidRPr="00AD65DD">
              <w:rPr>
                <w:rFonts w:ascii="Cambria Math" w:hAnsi="Cambria Math"/>
              </w:rPr>
              <w:t>Kompatybilne ze stacją dokującą z tego pakietu</w:t>
            </w:r>
          </w:p>
        </w:tc>
        <w:tc>
          <w:tcPr>
            <w:tcW w:w="1559" w:type="dxa"/>
            <w:vAlign w:val="center"/>
          </w:tcPr>
          <w:p w14:paraId="47930977" w14:textId="0E78CEFC" w:rsidR="00007A74" w:rsidRPr="004B26E8" w:rsidRDefault="00007A74" w:rsidP="00007A74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4B26E8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EDEF424" w14:textId="77777777" w:rsidR="00007A74" w:rsidRPr="005E49FE" w:rsidRDefault="00007A74" w:rsidP="00007A74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13CB2A27" w14:textId="1F563080" w:rsidR="0051673A" w:rsidRPr="005E49FE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741CCDB7" w14:textId="77777777" w:rsidR="0051673A" w:rsidRPr="005E49FE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59B457E5" w14:textId="77777777" w:rsidR="0051673A" w:rsidRPr="005E49FE" w:rsidRDefault="0051673A" w:rsidP="0051673A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p w14:paraId="769CD6A9" w14:textId="77777777" w:rsidR="0051673A" w:rsidRPr="005E49FE" w:rsidRDefault="0051673A" w:rsidP="0051673A">
      <w:pPr>
        <w:rPr>
          <w:rFonts w:ascii="Cambria Math" w:hAnsi="Cambria Math"/>
        </w:rPr>
      </w:pPr>
    </w:p>
    <w:p w14:paraId="73849099" w14:textId="77777777" w:rsidR="00881B16" w:rsidRPr="005E49FE" w:rsidRDefault="00881B16">
      <w:pPr>
        <w:rPr>
          <w:rFonts w:ascii="Cambria Math" w:hAnsi="Cambria Math"/>
        </w:rPr>
      </w:pP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8624C"/>
    <w:multiLevelType w:val="hybridMultilevel"/>
    <w:tmpl w:val="A466530E"/>
    <w:lvl w:ilvl="0" w:tplc="9DA653EA">
      <w:start w:val="1"/>
      <w:numFmt w:val="bullet"/>
      <w:lvlText w:val="▪"/>
      <w:lvlJc w:val="left"/>
      <w:pPr>
        <w:ind w:left="3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AFBC6">
      <w:start w:val="1"/>
      <w:numFmt w:val="bullet"/>
      <w:lvlText w:val="o"/>
      <w:lvlJc w:val="left"/>
      <w:pPr>
        <w:ind w:left="110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504026">
      <w:start w:val="1"/>
      <w:numFmt w:val="bullet"/>
      <w:lvlText w:val="▪"/>
      <w:lvlJc w:val="left"/>
      <w:pPr>
        <w:ind w:left="182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72082A">
      <w:start w:val="1"/>
      <w:numFmt w:val="bullet"/>
      <w:lvlText w:val="•"/>
      <w:lvlJc w:val="left"/>
      <w:pPr>
        <w:ind w:left="25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A22492">
      <w:start w:val="1"/>
      <w:numFmt w:val="bullet"/>
      <w:lvlText w:val="o"/>
      <w:lvlJc w:val="left"/>
      <w:pPr>
        <w:ind w:left="326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C6967C">
      <w:start w:val="1"/>
      <w:numFmt w:val="bullet"/>
      <w:lvlText w:val="▪"/>
      <w:lvlJc w:val="left"/>
      <w:pPr>
        <w:ind w:left="39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D2FB00">
      <w:start w:val="1"/>
      <w:numFmt w:val="bullet"/>
      <w:lvlText w:val="•"/>
      <w:lvlJc w:val="left"/>
      <w:pPr>
        <w:ind w:left="470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1255C6">
      <w:start w:val="1"/>
      <w:numFmt w:val="bullet"/>
      <w:lvlText w:val="o"/>
      <w:lvlJc w:val="left"/>
      <w:pPr>
        <w:ind w:left="542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0631B8">
      <w:start w:val="1"/>
      <w:numFmt w:val="bullet"/>
      <w:lvlText w:val="▪"/>
      <w:lvlJc w:val="left"/>
      <w:pPr>
        <w:ind w:left="61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1B06FE3"/>
    <w:multiLevelType w:val="hybridMultilevel"/>
    <w:tmpl w:val="71F06A62"/>
    <w:lvl w:ilvl="0" w:tplc="961C4D3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22715A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BE5D52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C82D7E">
      <w:start w:val="1"/>
      <w:numFmt w:val="bullet"/>
      <w:lvlText w:val="·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F425D0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4C8A8A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64DE4">
      <w:start w:val="1"/>
      <w:numFmt w:val="bullet"/>
      <w:lvlText w:val="·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CE6BAA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86B02E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3E5BAA"/>
    <w:multiLevelType w:val="hybridMultilevel"/>
    <w:tmpl w:val="B69C0670"/>
    <w:lvl w:ilvl="0" w:tplc="3B00023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304CE2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1C55C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E46B0E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C21FF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BE1864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10CC62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427C4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6F238F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A006DB7"/>
    <w:multiLevelType w:val="hybridMultilevel"/>
    <w:tmpl w:val="CBBC9BCA"/>
    <w:lvl w:ilvl="0" w:tplc="392E2A5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B8E724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B2C4EA">
      <w:start w:val="1"/>
      <w:numFmt w:val="bullet"/>
      <w:lvlText w:val="▪"/>
      <w:lvlJc w:val="left"/>
      <w:pPr>
        <w:ind w:left="18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8A0D4A">
      <w:start w:val="1"/>
      <w:numFmt w:val="bullet"/>
      <w:lvlText w:val="•"/>
      <w:lvlJc w:val="left"/>
      <w:pPr>
        <w:ind w:left="25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34482E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46F190">
      <w:start w:val="1"/>
      <w:numFmt w:val="bullet"/>
      <w:lvlText w:val="▪"/>
      <w:lvlJc w:val="left"/>
      <w:pPr>
        <w:ind w:left="39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248202">
      <w:start w:val="1"/>
      <w:numFmt w:val="bullet"/>
      <w:lvlText w:val="•"/>
      <w:lvlJc w:val="left"/>
      <w:pPr>
        <w:ind w:left="46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A421BA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62B39A">
      <w:start w:val="1"/>
      <w:numFmt w:val="bullet"/>
      <w:lvlText w:val="▪"/>
      <w:lvlJc w:val="left"/>
      <w:pPr>
        <w:ind w:left="61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A147AB2"/>
    <w:multiLevelType w:val="hybridMultilevel"/>
    <w:tmpl w:val="92EC0EC8"/>
    <w:lvl w:ilvl="0" w:tplc="7344958A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7410CE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5644B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72FD70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CA565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9ADE7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E8610C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42F0B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08430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4"/>
  </w:num>
  <w:num w:numId="2" w16cid:durableId="1554192221">
    <w:abstractNumId w:val="9"/>
  </w:num>
  <w:num w:numId="3" w16cid:durableId="1301837356">
    <w:abstractNumId w:val="10"/>
  </w:num>
  <w:num w:numId="4" w16cid:durableId="2033335021">
    <w:abstractNumId w:val="0"/>
  </w:num>
  <w:num w:numId="5" w16cid:durableId="1524977974">
    <w:abstractNumId w:val="8"/>
  </w:num>
  <w:num w:numId="6" w16cid:durableId="1613169866">
    <w:abstractNumId w:val="3"/>
  </w:num>
  <w:num w:numId="7" w16cid:durableId="490799371">
    <w:abstractNumId w:val="1"/>
  </w:num>
  <w:num w:numId="8" w16cid:durableId="121922139">
    <w:abstractNumId w:val="1"/>
    <w:lvlOverride w:ilvl="0">
      <w:lvl w:ilvl="0" w:tplc="9DA653EA">
        <w:start w:val="1"/>
        <w:numFmt w:val="bullet"/>
        <w:lvlText w:val="▪"/>
        <w:lvlJc w:val="left"/>
        <w:pPr>
          <w:ind w:left="3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F0AFBC6">
        <w:start w:val="1"/>
        <w:numFmt w:val="bullet"/>
        <w:lvlText w:val="o"/>
        <w:lvlJc w:val="left"/>
        <w:pPr>
          <w:ind w:left="110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E504026">
        <w:start w:val="1"/>
        <w:numFmt w:val="bullet"/>
        <w:lvlText w:val="▪"/>
        <w:lvlJc w:val="left"/>
        <w:pPr>
          <w:ind w:left="182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E72082A">
        <w:start w:val="1"/>
        <w:numFmt w:val="bullet"/>
        <w:lvlText w:val="•"/>
        <w:lvlJc w:val="left"/>
        <w:pPr>
          <w:ind w:left="25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A22492">
        <w:start w:val="1"/>
        <w:numFmt w:val="bullet"/>
        <w:lvlText w:val="o"/>
        <w:lvlJc w:val="left"/>
        <w:pPr>
          <w:ind w:left="326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CC6967C">
        <w:start w:val="1"/>
        <w:numFmt w:val="bullet"/>
        <w:lvlText w:val="▪"/>
        <w:lvlJc w:val="left"/>
        <w:pPr>
          <w:ind w:left="39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D2FB00">
        <w:start w:val="1"/>
        <w:numFmt w:val="bullet"/>
        <w:lvlText w:val="•"/>
        <w:lvlJc w:val="left"/>
        <w:pPr>
          <w:ind w:left="470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1255C6">
        <w:start w:val="1"/>
        <w:numFmt w:val="bullet"/>
        <w:lvlText w:val="o"/>
        <w:lvlJc w:val="left"/>
        <w:pPr>
          <w:ind w:left="542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0631B8">
        <w:start w:val="1"/>
        <w:numFmt w:val="bullet"/>
        <w:lvlText w:val="▪"/>
        <w:lvlJc w:val="left"/>
        <w:pPr>
          <w:ind w:left="61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44723613">
    <w:abstractNumId w:val="5"/>
  </w:num>
  <w:num w:numId="10" w16cid:durableId="392578722">
    <w:abstractNumId w:val="6"/>
  </w:num>
  <w:num w:numId="11" w16cid:durableId="1410808502">
    <w:abstractNumId w:val="7"/>
  </w:num>
  <w:num w:numId="12" w16cid:durableId="1863933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07A74"/>
    <w:rsid w:val="00067A1F"/>
    <w:rsid w:val="00127614"/>
    <w:rsid w:val="00170B0F"/>
    <w:rsid w:val="002137C0"/>
    <w:rsid w:val="002907FE"/>
    <w:rsid w:val="0029545A"/>
    <w:rsid w:val="0031409A"/>
    <w:rsid w:val="00325D29"/>
    <w:rsid w:val="003A058D"/>
    <w:rsid w:val="003D0FB4"/>
    <w:rsid w:val="00426741"/>
    <w:rsid w:val="00470BD8"/>
    <w:rsid w:val="00471344"/>
    <w:rsid w:val="004B26E8"/>
    <w:rsid w:val="0051673A"/>
    <w:rsid w:val="005E49FE"/>
    <w:rsid w:val="005F22D2"/>
    <w:rsid w:val="006A51D7"/>
    <w:rsid w:val="007321E0"/>
    <w:rsid w:val="0079073F"/>
    <w:rsid w:val="00880A93"/>
    <w:rsid w:val="00881B16"/>
    <w:rsid w:val="008F7F66"/>
    <w:rsid w:val="00917B86"/>
    <w:rsid w:val="00923707"/>
    <w:rsid w:val="0099579E"/>
    <w:rsid w:val="00A84D8C"/>
    <w:rsid w:val="00B754A3"/>
    <w:rsid w:val="00B7696F"/>
    <w:rsid w:val="00C82366"/>
    <w:rsid w:val="00DA7D94"/>
    <w:rsid w:val="00DB483A"/>
    <w:rsid w:val="00DD4E16"/>
    <w:rsid w:val="00E1231E"/>
    <w:rsid w:val="00E51680"/>
    <w:rsid w:val="00F06370"/>
    <w:rsid w:val="00F13073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1058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Joanna Szulga</cp:lastModifiedBy>
  <cp:revision>5</cp:revision>
  <dcterms:created xsi:type="dcterms:W3CDTF">2026-03-31T09:33:00Z</dcterms:created>
  <dcterms:modified xsi:type="dcterms:W3CDTF">2026-04-01T06:25:00Z</dcterms:modified>
</cp:coreProperties>
</file>